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C1F20" w14:textId="77777777" w:rsidR="005C3539" w:rsidRDefault="005C3539" w:rsidP="005C153C">
      <w:pPr>
        <w:pStyle w:val="Title"/>
        <w:rPr>
          <w:lang w:val="en-US"/>
        </w:rPr>
      </w:pPr>
      <w:r>
        <w:t xml:space="preserve">Scaling Groups </w:t>
      </w:r>
      <w:r>
        <w:rPr>
          <w:lang w:val="en-US"/>
        </w:rPr>
        <w:t>in the</w:t>
      </w:r>
      <w:r w:rsidR="005C153C">
        <w:rPr>
          <w:lang w:val="en-US"/>
        </w:rPr>
        <w:t xml:space="preserve"> </w:t>
      </w:r>
    </w:p>
    <w:p w14:paraId="7C22D97A" w14:textId="77777777" w:rsidR="00F14D6B" w:rsidRPr="005C3539" w:rsidRDefault="00F14D6B" w:rsidP="005C153C">
      <w:pPr>
        <w:pStyle w:val="Title"/>
      </w:pPr>
      <w:r w:rsidRPr="001D14E3">
        <w:rPr>
          <w:lang w:val="en-US"/>
        </w:rPr>
        <w:t xml:space="preserve">ACT </w:t>
      </w:r>
      <w:r w:rsidR="001131A8" w:rsidRPr="001D14E3">
        <w:rPr>
          <w:lang w:val="en-US"/>
        </w:rPr>
        <w:t>Certification System</w:t>
      </w:r>
      <w:r w:rsidR="006A6E73" w:rsidRPr="001D14E3">
        <w:rPr>
          <w:lang w:val="en-US"/>
        </w:rPr>
        <w:t xml:space="preserve"> </w:t>
      </w:r>
      <w:r w:rsidR="005C153C">
        <w:rPr>
          <w:lang w:val="en-US"/>
        </w:rPr>
        <w:t>(</w:t>
      </w:r>
      <w:r w:rsidR="006A6E73" w:rsidRPr="001D14E3">
        <w:rPr>
          <w:lang w:val="en-US"/>
        </w:rPr>
        <w:t>ACS</w:t>
      </w:r>
      <w:r w:rsidR="005C153C">
        <w:rPr>
          <w:lang w:val="en-US"/>
        </w:rPr>
        <w:t>)</w:t>
      </w:r>
    </w:p>
    <w:p w14:paraId="5FFE08C4" w14:textId="6F49635D" w:rsidR="007752C8" w:rsidRDefault="4AF044B9" w:rsidP="17E5AE67">
      <w:pPr>
        <w:pStyle w:val="Title"/>
        <w:rPr>
          <w:rFonts w:cs="Arial"/>
        </w:rPr>
      </w:pPr>
      <w:r w:rsidRPr="17E5AE67">
        <w:rPr>
          <w:rFonts w:cs="Arial"/>
        </w:rPr>
        <w:t xml:space="preserve">September </w:t>
      </w:r>
      <w:r w:rsidR="79DB4721" w:rsidRPr="17E5AE67">
        <w:rPr>
          <w:rFonts w:cs="Arial"/>
        </w:rPr>
        <w:t>20</w:t>
      </w:r>
      <w:r w:rsidR="37E9090B" w:rsidRPr="17E5AE67">
        <w:rPr>
          <w:rFonts w:cs="Arial"/>
        </w:rPr>
        <w:t>23</w:t>
      </w:r>
    </w:p>
    <w:p w14:paraId="2FA33353" w14:textId="77777777" w:rsidR="00F14D6B" w:rsidRPr="001D14E3" w:rsidRDefault="00F14D6B">
      <w:pPr>
        <w:rPr>
          <w:sz w:val="36"/>
          <w:szCs w:val="36"/>
          <w:lang w:val="en-US"/>
        </w:rPr>
      </w:pPr>
    </w:p>
    <w:p w14:paraId="22F4D51D" w14:textId="77777777" w:rsidR="00F545AA" w:rsidRPr="00244544" w:rsidRDefault="00B95679" w:rsidP="00244544">
      <w:pPr>
        <w:rPr>
          <w:sz w:val="36"/>
          <w:szCs w:val="36"/>
          <w:lang w:val="en-US"/>
        </w:rPr>
      </w:pPr>
      <w:r>
        <w:rPr>
          <w:noProof/>
          <w:lang w:eastAsia="en-AU"/>
        </w:rPr>
        <w:drawing>
          <wp:inline distT="0" distB="0" distL="0" distR="0" wp14:anchorId="2F0CD217" wp14:editId="19E48484">
            <wp:extent cx="6332220" cy="1663065"/>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56425" b="55287"/>
                    <a:stretch/>
                  </pic:blipFill>
                  <pic:spPr bwMode="auto">
                    <a:xfrm>
                      <a:off x="0" y="0"/>
                      <a:ext cx="6332220" cy="1663065"/>
                    </a:xfrm>
                    <a:prstGeom prst="rect">
                      <a:avLst/>
                    </a:prstGeom>
                    <a:ln>
                      <a:noFill/>
                    </a:ln>
                    <a:extLst>
                      <a:ext uri="{53640926-AAD7-44D8-BBD7-CCE9431645EC}">
                        <a14:shadowObscured xmlns:a14="http://schemas.microsoft.com/office/drawing/2010/main"/>
                      </a:ext>
                    </a:extLst>
                  </pic:spPr>
                </pic:pic>
              </a:graphicData>
            </a:graphic>
          </wp:inline>
        </w:drawing>
      </w:r>
      <w:bookmarkStart w:id="0" w:name="_Toc485531085"/>
      <w:bookmarkStart w:id="1" w:name="_Toc485531352"/>
      <w:bookmarkStart w:id="2" w:name="_Toc485531526"/>
      <w:bookmarkStart w:id="3" w:name="_Toc485532809"/>
      <w:bookmarkStart w:id="4" w:name="_Toc485536235"/>
      <w:bookmarkStart w:id="5" w:name="_Toc485536493"/>
      <w:bookmarkStart w:id="6" w:name="_Toc485536589"/>
      <w:bookmarkStart w:id="7" w:name="_Toc485536621"/>
      <w:bookmarkStart w:id="8" w:name="_Toc485536880"/>
      <w:bookmarkStart w:id="9" w:name="_Toc485536896"/>
      <w:bookmarkStart w:id="10" w:name="_Toc485537013"/>
      <w:bookmarkStart w:id="11" w:name="_Toc485537025"/>
      <w:bookmarkStart w:id="12" w:name="_Toc485541350"/>
    </w:p>
    <w:sdt>
      <w:sdtPr>
        <w:rPr>
          <w:rFonts w:ascii="Arial" w:eastAsia="Times New Roman" w:hAnsi="Arial" w:cs="Times New Roman"/>
          <w:bCs w:val="0"/>
          <w:color w:val="auto"/>
          <w:sz w:val="22"/>
          <w:szCs w:val="20"/>
          <w:lang w:val="en-AU" w:eastAsia="en-US"/>
        </w:rPr>
        <w:id w:val="1175931685"/>
        <w:docPartObj>
          <w:docPartGallery w:val="Table of Contents"/>
          <w:docPartUnique/>
        </w:docPartObj>
      </w:sdtPr>
      <w:sdtEndPr/>
      <w:sdtContent>
        <w:p w14:paraId="25A08AD6" w14:textId="77777777" w:rsidR="00F545AA" w:rsidRDefault="73B6DE69">
          <w:pPr>
            <w:pStyle w:val="TOCHeading"/>
          </w:pPr>
          <w:r>
            <w:t>Table of Contents</w:t>
          </w:r>
        </w:p>
        <w:p w14:paraId="276F66A9" w14:textId="60E6FED4" w:rsidR="003A643F" w:rsidRDefault="00AB34E7">
          <w:pPr>
            <w:pStyle w:val="TOC1"/>
            <w:rPr>
              <w:rFonts w:asciiTheme="minorHAnsi" w:eastAsiaTheme="minorEastAsia" w:hAnsiTheme="minorHAnsi" w:cstheme="minorBidi"/>
              <w:noProof/>
              <w:szCs w:val="22"/>
              <w:lang w:eastAsia="en-AU"/>
            </w:rPr>
          </w:pPr>
          <w:r>
            <w:fldChar w:fldCharType="begin"/>
          </w:r>
          <w:r w:rsidR="004464E6">
            <w:instrText>TOC \o "1-3" \h \z \u</w:instrText>
          </w:r>
          <w:r>
            <w:fldChar w:fldCharType="separate"/>
          </w:r>
          <w:hyperlink w:anchor="_Toc146636615" w:history="1">
            <w:r w:rsidR="003A643F" w:rsidRPr="00CC4248">
              <w:rPr>
                <w:rStyle w:val="Hyperlink"/>
                <w:noProof/>
              </w:rPr>
              <w:t>Scaling Groups</w:t>
            </w:r>
            <w:r w:rsidR="003A643F">
              <w:rPr>
                <w:noProof/>
                <w:webHidden/>
              </w:rPr>
              <w:tab/>
            </w:r>
            <w:r w:rsidR="003A643F">
              <w:rPr>
                <w:noProof/>
                <w:webHidden/>
              </w:rPr>
              <w:fldChar w:fldCharType="begin"/>
            </w:r>
            <w:r w:rsidR="003A643F">
              <w:rPr>
                <w:noProof/>
                <w:webHidden/>
              </w:rPr>
              <w:instrText xml:space="preserve"> PAGEREF _Toc146636615 \h </w:instrText>
            </w:r>
            <w:r w:rsidR="003A643F">
              <w:rPr>
                <w:noProof/>
                <w:webHidden/>
              </w:rPr>
            </w:r>
            <w:r w:rsidR="003A643F">
              <w:rPr>
                <w:noProof/>
                <w:webHidden/>
              </w:rPr>
              <w:fldChar w:fldCharType="separate"/>
            </w:r>
            <w:r w:rsidR="00CB65FC">
              <w:rPr>
                <w:noProof/>
                <w:webHidden/>
              </w:rPr>
              <w:t>3</w:t>
            </w:r>
            <w:r w:rsidR="003A643F">
              <w:rPr>
                <w:noProof/>
                <w:webHidden/>
              </w:rPr>
              <w:fldChar w:fldCharType="end"/>
            </w:r>
          </w:hyperlink>
        </w:p>
        <w:p w14:paraId="77C22378" w14:textId="3CFC3D3D" w:rsidR="003A643F" w:rsidRDefault="003A643F">
          <w:pPr>
            <w:pStyle w:val="TOC1"/>
            <w:rPr>
              <w:rFonts w:asciiTheme="minorHAnsi" w:eastAsiaTheme="minorEastAsia" w:hAnsiTheme="minorHAnsi" w:cstheme="minorBidi"/>
              <w:noProof/>
              <w:szCs w:val="22"/>
              <w:lang w:eastAsia="en-AU"/>
            </w:rPr>
          </w:pPr>
          <w:hyperlink w:anchor="_Toc146636616" w:history="1">
            <w:r w:rsidRPr="00CC4248">
              <w:rPr>
                <w:rStyle w:val="Hyperlink"/>
                <w:noProof/>
              </w:rPr>
              <w:t>Initial Standardisation</w:t>
            </w:r>
            <w:r>
              <w:rPr>
                <w:noProof/>
                <w:webHidden/>
              </w:rPr>
              <w:tab/>
            </w:r>
            <w:r>
              <w:rPr>
                <w:noProof/>
                <w:webHidden/>
              </w:rPr>
              <w:fldChar w:fldCharType="begin"/>
            </w:r>
            <w:r>
              <w:rPr>
                <w:noProof/>
                <w:webHidden/>
              </w:rPr>
              <w:instrText xml:space="preserve"> PAGEREF _Toc146636616 \h </w:instrText>
            </w:r>
            <w:r>
              <w:rPr>
                <w:noProof/>
                <w:webHidden/>
              </w:rPr>
            </w:r>
            <w:r>
              <w:rPr>
                <w:noProof/>
                <w:webHidden/>
              </w:rPr>
              <w:fldChar w:fldCharType="separate"/>
            </w:r>
            <w:r w:rsidR="00CB65FC">
              <w:rPr>
                <w:noProof/>
                <w:webHidden/>
              </w:rPr>
              <w:t>4</w:t>
            </w:r>
            <w:r>
              <w:rPr>
                <w:noProof/>
                <w:webHidden/>
              </w:rPr>
              <w:fldChar w:fldCharType="end"/>
            </w:r>
          </w:hyperlink>
        </w:p>
        <w:p w14:paraId="6DD7AB7D" w14:textId="505AC4A2" w:rsidR="003A643F" w:rsidRDefault="003A643F">
          <w:pPr>
            <w:pStyle w:val="TOC1"/>
            <w:rPr>
              <w:rFonts w:asciiTheme="minorHAnsi" w:eastAsiaTheme="minorEastAsia" w:hAnsiTheme="minorHAnsi" w:cstheme="minorBidi"/>
              <w:noProof/>
              <w:szCs w:val="22"/>
              <w:lang w:eastAsia="en-AU"/>
            </w:rPr>
          </w:pPr>
          <w:hyperlink w:anchor="_Toc146636617" w:history="1">
            <w:r w:rsidRPr="00CC4248">
              <w:rPr>
                <w:rStyle w:val="Hyperlink"/>
                <w:noProof/>
              </w:rPr>
              <w:t>Backscaling</w:t>
            </w:r>
            <w:r>
              <w:rPr>
                <w:noProof/>
                <w:webHidden/>
              </w:rPr>
              <w:tab/>
            </w:r>
            <w:r>
              <w:rPr>
                <w:noProof/>
                <w:webHidden/>
              </w:rPr>
              <w:fldChar w:fldCharType="begin"/>
            </w:r>
            <w:r>
              <w:rPr>
                <w:noProof/>
                <w:webHidden/>
              </w:rPr>
              <w:instrText xml:space="preserve"> PAGEREF _Toc146636617 \h </w:instrText>
            </w:r>
            <w:r>
              <w:rPr>
                <w:noProof/>
                <w:webHidden/>
              </w:rPr>
            </w:r>
            <w:r>
              <w:rPr>
                <w:noProof/>
                <w:webHidden/>
              </w:rPr>
              <w:fldChar w:fldCharType="separate"/>
            </w:r>
            <w:r w:rsidR="00CB65FC">
              <w:rPr>
                <w:noProof/>
                <w:webHidden/>
              </w:rPr>
              <w:t>8</w:t>
            </w:r>
            <w:r>
              <w:rPr>
                <w:noProof/>
                <w:webHidden/>
              </w:rPr>
              <w:fldChar w:fldCharType="end"/>
            </w:r>
          </w:hyperlink>
        </w:p>
        <w:p w14:paraId="05DACA6F" w14:textId="51672FF2" w:rsidR="003A643F" w:rsidRDefault="003A643F">
          <w:pPr>
            <w:pStyle w:val="TOC1"/>
            <w:rPr>
              <w:rFonts w:asciiTheme="minorHAnsi" w:eastAsiaTheme="minorEastAsia" w:hAnsiTheme="minorHAnsi" w:cstheme="minorBidi"/>
              <w:noProof/>
              <w:szCs w:val="22"/>
              <w:lang w:eastAsia="en-AU"/>
            </w:rPr>
          </w:pPr>
          <w:hyperlink w:anchor="_Toc146636618" w:history="1">
            <w:r w:rsidRPr="00CC4248">
              <w:rPr>
                <w:rStyle w:val="Hyperlink"/>
                <w:noProof/>
              </w:rPr>
              <w:t>The Comparison List</w:t>
            </w:r>
            <w:r>
              <w:rPr>
                <w:noProof/>
                <w:webHidden/>
              </w:rPr>
              <w:tab/>
            </w:r>
            <w:r>
              <w:rPr>
                <w:noProof/>
                <w:webHidden/>
              </w:rPr>
              <w:fldChar w:fldCharType="begin"/>
            </w:r>
            <w:r>
              <w:rPr>
                <w:noProof/>
                <w:webHidden/>
              </w:rPr>
              <w:instrText xml:space="preserve"> PAGEREF _Toc146636618 \h </w:instrText>
            </w:r>
            <w:r>
              <w:rPr>
                <w:noProof/>
                <w:webHidden/>
              </w:rPr>
            </w:r>
            <w:r>
              <w:rPr>
                <w:noProof/>
                <w:webHidden/>
              </w:rPr>
              <w:fldChar w:fldCharType="separate"/>
            </w:r>
            <w:r w:rsidR="00CB65FC">
              <w:rPr>
                <w:noProof/>
                <w:webHidden/>
              </w:rPr>
              <w:t>10</w:t>
            </w:r>
            <w:r>
              <w:rPr>
                <w:noProof/>
                <w:webHidden/>
              </w:rPr>
              <w:fldChar w:fldCharType="end"/>
            </w:r>
          </w:hyperlink>
        </w:p>
        <w:p w14:paraId="3594A6B8" w14:textId="6F034DE9" w:rsidR="003A643F" w:rsidRDefault="003A643F">
          <w:pPr>
            <w:pStyle w:val="TOC1"/>
            <w:rPr>
              <w:rFonts w:asciiTheme="minorHAnsi" w:eastAsiaTheme="minorEastAsia" w:hAnsiTheme="minorHAnsi" w:cstheme="minorBidi"/>
              <w:noProof/>
              <w:szCs w:val="22"/>
              <w:lang w:eastAsia="en-AU"/>
            </w:rPr>
          </w:pPr>
          <w:hyperlink w:anchor="_Toc146636619" w:history="1">
            <w:r w:rsidRPr="00CC4248">
              <w:rPr>
                <w:rStyle w:val="Hyperlink"/>
                <w:noProof/>
              </w:rPr>
              <w:t>Looking at courses and units in a scaling group</w:t>
            </w:r>
            <w:r>
              <w:rPr>
                <w:noProof/>
                <w:webHidden/>
              </w:rPr>
              <w:tab/>
            </w:r>
            <w:r>
              <w:rPr>
                <w:noProof/>
                <w:webHidden/>
              </w:rPr>
              <w:fldChar w:fldCharType="begin"/>
            </w:r>
            <w:r>
              <w:rPr>
                <w:noProof/>
                <w:webHidden/>
              </w:rPr>
              <w:instrText xml:space="preserve"> PAGEREF _Toc146636619 \h </w:instrText>
            </w:r>
            <w:r>
              <w:rPr>
                <w:noProof/>
                <w:webHidden/>
              </w:rPr>
            </w:r>
            <w:r>
              <w:rPr>
                <w:noProof/>
                <w:webHidden/>
              </w:rPr>
              <w:fldChar w:fldCharType="separate"/>
            </w:r>
            <w:r w:rsidR="00CB65FC">
              <w:rPr>
                <w:noProof/>
                <w:webHidden/>
              </w:rPr>
              <w:t>12</w:t>
            </w:r>
            <w:r>
              <w:rPr>
                <w:noProof/>
                <w:webHidden/>
              </w:rPr>
              <w:fldChar w:fldCharType="end"/>
            </w:r>
          </w:hyperlink>
        </w:p>
        <w:p w14:paraId="22CCA2A2" w14:textId="2551871D" w:rsidR="003A643F" w:rsidRDefault="003A643F">
          <w:pPr>
            <w:pStyle w:val="TOC1"/>
            <w:rPr>
              <w:rFonts w:asciiTheme="minorHAnsi" w:eastAsiaTheme="minorEastAsia" w:hAnsiTheme="minorHAnsi" w:cstheme="minorBidi"/>
              <w:noProof/>
              <w:szCs w:val="22"/>
              <w:lang w:eastAsia="en-AU"/>
            </w:rPr>
          </w:pPr>
          <w:hyperlink w:anchor="_Toc146636620" w:history="1">
            <w:r w:rsidRPr="00CC4248">
              <w:rPr>
                <w:rStyle w:val="Hyperlink"/>
                <w:noProof/>
              </w:rPr>
              <w:t>Histogram Tab</w:t>
            </w:r>
            <w:r>
              <w:rPr>
                <w:noProof/>
                <w:webHidden/>
              </w:rPr>
              <w:tab/>
            </w:r>
            <w:r>
              <w:rPr>
                <w:noProof/>
                <w:webHidden/>
              </w:rPr>
              <w:fldChar w:fldCharType="begin"/>
            </w:r>
            <w:r>
              <w:rPr>
                <w:noProof/>
                <w:webHidden/>
              </w:rPr>
              <w:instrText xml:space="preserve"> PAGEREF _Toc146636620 \h </w:instrText>
            </w:r>
            <w:r>
              <w:rPr>
                <w:noProof/>
                <w:webHidden/>
              </w:rPr>
            </w:r>
            <w:r>
              <w:rPr>
                <w:noProof/>
                <w:webHidden/>
              </w:rPr>
              <w:fldChar w:fldCharType="separate"/>
            </w:r>
            <w:r w:rsidR="00CB65FC">
              <w:rPr>
                <w:noProof/>
                <w:webHidden/>
              </w:rPr>
              <w:t>13</w:t>
            </w:r>
            <w:r>
              <w:rPr>
                <w:noProof/>
                <w:webHidden/>
              </w:rPr>
              <w:fldChar w:fldCharType="end"/>
            </w:r>
          </w:hyperlink>
        </w:p>
        <w:p w14:paraId="1F87E6C3" w14:textId="334F2ABD" w:rsidR="003A643F" w:rsidRDefault="003A643F">
          <w:pPr>
            <w:pStyle w:val="TOC1"/>
            <w:rPr>
              <w:rFonts w:asciiTheme="minorHAnsi" w:eastAsiaTheme="minorEastAsia" w:hAnsiTheme="minorHAnsi" w:cstheme="minorBidi"/>
              <w:noProof/>
              <w:szCs w:val="22"/>
              <w:lang w:eastAsia="en-AU"/>
            </w:rPr>
          </w:pPr>
          <w:hyperlink w:anchor="_Toc146636621" w:history="1">
            <w:r w:rsidRPr="00CC4248">
              <w:rPr>
                <w:rStyle w:val="Hyperlink"/>
                <w:noProof/>
              </w:rPr>
              <w:t>Providing access to scaling group lists</w:t>
            </w:r>
            <w:r>
              <w:rPr>
                <w:noProof/>
                <w:webHidden/>
              </w:rPr>
              <w:tab/>
            </w:r>
            <w:r>
              <w:rPr>
                <w:noProof/>
                <w:webHidden/>
              </w:rPr>
              <w:fldChar w:fldCharType="begin"/>
            </w:r>
            <w:r>
              <w:rPr>
                <w:noProof/>
                <w:webHidden/>
              </w:rPr>
              <w:instrText xml:space="preserve"> PAGEREF _Toc146636621 \h </w:instrText>
            </w:r>
            <w:r>
              <w:rPr>
                <w:noProof/>
                <w:webHidden/>
              </w:rPr>
            </w:r>
            <w:r>
              <w:rPr>
                <w:noProof/>
                <w:webHidden/>
              </w:rPr>
              <w:fldChar w:fldCharType="separate"/>
            </w:r>
            <w:r w:rsidR="00CB65FC">
              <w:rPr>
                <w:noProof/>
                <w:webHidden/>
              </w:rPr>
              <w:t>14</w:t>
            </w:r>
            <w:r>
              <w:rPr>
                <w:noProof/>
                <w:webHidden/>
              </w:rPr>
              <w:fldChar w:fldCharType="end"/>
            </w:r>
          </w:hyperlink>
        </w:p>
        <w:p w14:paraId="209BE320" w14:textId="3BAC8C60" w:rsidR="008F30B8" w:rsidRDefault="00AB34E7" w:rsidP="20F12F8E">
          <w:pPr>
            <w:pStyle w:val="TOC1"/>
            <w:tabs>
              <w:tab w:val="clear" w:pos="9962"/>
              <w:tab w:val="right" w:leader="dot" w:pos="9960"/>
            </w:tabs>
            <w:rPr>
              <w:rStyle w:val="Hyperlink"/>
              <w:noProof/>
              <w:lang w:eastAsia="en-AU"/>
            </w:rPr>
          </w:pPr>
          <w:r>
            <w:fldChar w:fldCharType="end"/>
          </w:r>
        </w:p>
      </w:sdtContent>
    </w:sdt>
    <w:p w14:paraId="4E7C3E1B" w14:textId="77777777" w:rsidR="00F545AA" w:rsidRDefault="00F545AA"/>
    <w:p w14:paraId="0F677B63" w14:textId="77777777" w:rsidR="00190996" w:rsidRDefault="00F14D6B" w:rsidP="005C3539">
      <w:pPr>
        <w:pStyle w:val="Heading1"/>
        <w:rPr>
          <w:b w:val="0"/>
        </w:rPr>
      </w:pPr>
      <w:r w:rsidRPr="00236F87">
        <w:br w:type="page"/>
      </w:r>
      <w:bookmarkStart w:id="13" w:name="_Toc235672200"/>
      <w:bookmarkStart w:id="14" w:name="_Toc307475266"/>
      <w:bookmarkEnd w:id="0"/>
      <w:bookmarkEnd w:id="1"/>
      <w:bookmarkEnd w:id="2"/>
      <w:bookmarkEnd w:id="3"/>
      <w:bookmarkEnd w:id="4"/>
      <w:bookmarkEnd w:id="5"/>
      <w:bookmarkEnd w:id="6"/>
      <w:bookmarkEnd w:id="7"/>
      <w:bookmarkEnd w:id="8"/>
      <w:bookmarkEnd w:id="9"/>
      <w:bookmarkEnd w:id="10"/>
      <w:bookmarkEnd w:id="11"/>
      <w:bookmarkEnd w:id="12"/>
    </w:p>
    <w:p w14:paraId="0FF535D2" w14:textId="41152051" w:rsidR="004436E6" w:rsidRDefault="7B8B0750" w:rsidP="00DD6BF8">
      <w:pPr>
        <w:pStyle w:val="Heading1"/>
      </w:pPr>
      <w:bookmarkStart w:id="15" w:name="_Toc146636615"/>
      <w:r>
        <w:lastRenderedPageBreak/>
        <w:t>Scaling Group</w:t>
      </w:r>
      <w:r w:rsidR="4ECA535F">
        <w:t>s</w:t>
      </w:r>
      <w:bookmarkEnd w:id="13"/>
      <w:bookmarkEnd w:id="14"/>
      <w:bookmarkEnd w:id="15"/>
    </w:p>
    <w:p w14:paraId="1DD96B70" w14:textId="124FE658" w:rsidR="00190996" w:rsidRPr="0004208B" w:rsidRDefault="7B8B0750" w:rsidP="17E5AE67">
      <w:r>
        <w:t xml:space="preserve">Scaling groups are </w:t>
      </w:r>
      <w:r w:rsidR="56EBC70B">
        <w:t>used for the standardisation or scaling of student scores at the end of each semester.</w:t>
      </w:r>
      <w:r w:rsidR="00A678AE">
        <w:br/>
      </w:r>
      <w:r w:rsidR="00A678AE">
        <w:br/>
      </w:r>
      <w:r w:rsidR="56EBC70B">
        <w:t xml:space="preserve">In the past, certification officers or teachers needed to create scaling group lists </w:t>
      </w:r>
      <w:r>
        <w:t>for data entry</w:t>
      </w:r>
      <w:r w:rsidR="133BC198">
        <w:t xml:space="preserve"> and lists for </w:t>
      </w:r>
      <w:proofErr w:type="spellStart"/>
      <w:r w:rsidR="133BC198">
        <w:t>backscaling</w:t>
      </w:r>
      <w:proofErr w:type="spellEnd"/>
      <w:r>
        <w:t xml:space="preserve"> of </w:t>
      </w:r>
      <w:r w:rsidR="093251E6">
        <w:t xml:space="preserve">T and H </w:t>
      </w:r>
      <w:r w:rsidR="32C6C8FD">
        <w:t>units</w:t>
      </w:r>
      <w:r w:rsidR="267804DF">
        <w:t>. However, new ACS functionality means that this will automatically be</w:t>
      </w:r>
      <w:r w:rsidR="5DF72091">
        <w:t xml:space="preserve"> done in the system</w:t>
      </w:r>
      <w:r w:rsidR="267804DF">
        <w:t xml:space="preserve"> </w:t>
      </w:r>
      <w:r w:rsidR="36438D98">
        <w:t>via</w:t>
      </w:r>
      <w:r>
        <w:t xml:space="preserve"> the </w:t>
      </w:r>
      <w:r w:rsidR="29B63985" w:rsidRPr="17E5AE67">
        <w:rPr>
          <w:b/>
          <w:bCs/>
        </w:rPr>
        <w:t>Scaling Groups - &gt; U</w:t>
      </w:r>
      <w:r w:rsidRPr="17E5AE67">
        <w:rPr>
          <w:b/>
          <w:bCs/>
        </w:rPr>
        <w:t>nit Scores</w:t>
      </w:r>
      <w:r>
        <w:t xml:space="preserve"> menu item.</w:t>
      </w:r>
    </w:p>
    <w:p w14:paraId="1F2BF6FF" w14:textId="2F62019E" w:rsidR="00190996" w:rsidRPr="0004208B" w:rsidRDefault="78925B7F" w:rsidP="17E5AE67">
      <w:r>
        <w:rPr>
          <w:noProof/>
        </w:rPr>
        <w:drawing>
          <wp:inline distT="0" distB="0" distL="0" distR="0" wp14:anchorId="5ECF20C4" wp14:editId="06F8A435">
            <wp:extent cx="6270865" cy="1384816"/>
            <wp:effectExtent l="0" t="0" r="0" b="0"/>
            <wp:docPr id="1325627282" name="Picture 132562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70865" cy="1384816"/>
                    </a:xfrm>
                    <a:prstGeom prst="rect">
                      <a:avLst/>
                    </a:prstGeom>
                  </pic:spPr>
                </pic:pic>
              </a:graphicData>
            </a:graphic>
          </wp:inline>
        </w:drawing>
      </w:r>
    </w:p>
    <w:p w14:paraId="1DF7D9AF" w14:textId="39CDDBEA" w:rsidR="00190996" w:rsidRPr="0004208B" w:rsidRDefault="00A678AE" w:rsidP="17E5AE67">
      <w:r>
        <w:br/>
      </w:r>
      <w:r w:rsidR="04DC8B86">
        <w:t xml:space="preserve">Selecting the </w:t>
      </w:r>
      <w:r w:rsidR="04DC8B86" w:rsidRPr="17E5AE67">
        <w:rPr>
          <w:b/>
          <w:bCs/>
        </w:rPr>
        <w:t xml:space="preserve">Unit Scores </w:t>
      </w:r>
      <w:r w:rsidR="04DC8B86">
        <w:t>menu item will take you to this page:</w:t>
      </w:r>
    </w:p>
    <w:p w14:paraId="3E3BE525" w14:textId="2A9697F4" w:rsidR="00190996" w:rsidRPr="0004208B" w:rsidRDefault="5A795F30" w:rsidP="17E5AE67">
      <w:r>
        <w:rPr>
          <w:noProof/>
        </w:rPr>
        <w:drawing>
          <wp:inline distT="0" distB="0" distL="0" distR="0" wp14:anchorId="3B437686" wp14:editId="41939F78">
            <wp:extent cx="6259523" cy="1943060"/>
            <wp:effectExtent l="0" t="0" r="0" b="0"/>
            <wp:docPr id="1752497610" name="Picture 175249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9523" cy="1943060"/>
                    </a:xfrm>
                    <a:prstGeom prst="rect">
                      <a:avLst/>
                    </a:prstGeom>
                  </pic:spPr>
                </pic:pic>
              </a:graphicData>
            </a:graphic>
          </wp:inline>
        </w:drawing>
      </w:r>
      <w:r w:rsidR="00A678AE">
        <w:br/>
      </w:r>
      <w:r w:rsidR="3A210950">
        <w:t>T</w:t>
      </w:r>
      <w:r w:rsidR="712270DE">
        <w:t>he Current List tab</w:t>
      </w:r>
      <w:r w:rsidR="59475287">
        <w:t xml:space="preserve"> </w:t>
      </w:r>
      <w:r w:rsidR="712270DE">
        <w:t>is where standardisation</w:t>
      </w:r>
      <w:r w:rsidR="321338DD">
        <w:t xml:space="preserve"> or </w:t>
      </w:r>
      <w:proofErr w:type="spellStart"/>
      <w:r w:rsidR="712270DE">
        <w:t>backscaling</w:t>
      </w:r>
      <w:proofErr w:type="spellEnd"/>
      <w:r w:rsidR="712270DE">
        <w:t xml:space="preserve"> is done.</w:t>
      </w:r>
    </w:p>
    <w:p w14:paraId="558A5E82" w14:textId="3B964549" w:rsidR="00190996" w:rsidRPr="0004208B" w:rsidRDefault="00190996" w:rsidP="17E5AE67"/>
    <w:p w14:paraId="61EF6B30" w14:textId="50503F14" w:rsidR="00190996" w:rsidRPr="0004208B" w:rsidRDefault="712270DE" w:rsidP="17E5AE67">
      <w:r>
        <w:t xml:space="preserve">We use the Selection Parameters section to select the scaling group that we wish to standardise or </w:t>
      </w:r>
      <w:proofErr w:type="spellStart"/>
      <w:r>
        <w:t>backscale</w:t>
      </w:r>
      <w:proofErr w:type="spellEnd"/>
      <w:r>
        <w:t>.</w:t>
      </w:r>
      <w:r w:rsidR="7ECF9403">
        <w:t xml:space="preserve"> </w:t>
      </w:r>
      <w:r w:rsidR="3B6FF8CE">
        <w:t>We select the year, assessment period, cohort and scaling group that we are interested in by using the drop downs and the radio buttons.</w:t>
      </w:r>
      <w:r w:rsidR="00A678AE">
        <w:br/>
      </w:r>
      <w:r w:rsidR="0B5C5125">
        <w:rPr>
          <w:noProof/>
        </w:rPr>
        <w:drawing>
          <wp:inline distT="0" distB="0" distL="0" distR="0" wp14:anchorId="5A5485B7" wp14:editId="3100EC70">
            <wp:extent cx="4171950" cy="1929527"/>
            <wp:effectExtent l="0" t="0" r="0" b="0"/>
            <wp:docPr id="1728995767" name="Picture 172899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71950" cy="1929527"/>
                    </a:xfrm>
                    <a:prstGeom prst="rect">
                      <a:avLst/>
                    </a:prstGeom>
                  </pic:spPr>
                </pic:pic>
              </a:graphicData>
            </a:graphic>
          </wp:inline>
        </w:drawing>
      </w:r>
    </w:p>
    <w:p w14:paraId="591EDB43" w14:textId="7C81703F" w:rsidR="00190996" w:rsidRPr="0004208B" w:rsidRDefault="00190996" w:rsidP="17E5AE67"/>
    <w:p w14:paraId="38BD2E89" w14:textId="0D64F0E9" w:rsidR="00190996" w:rsidRDefault="7E6208DE" w:rsidP="17E5AE67">
      <w:pPr>
        <w:spacing w:line="259" w:lineRule="auto"/>
      </w:pPr>
      <w:r>
        <w:t>Note that ‘Cohort’ always</w:t>
      </w:r>
      <w:r w:rsidRPr="17E5AE67">
        <w:rPr>
          <w:i/>
          <w:iCs/>
        </w:rPr>
        <w:t xml:space="preserve"> </w:t>
      </w:r>
      <w:r w:rsidRPr="17E5AE67">
        <w:t xml:space="preserve">refers to the </w:t>
      </w:r>
      <w:r w:rsidRPr="17E5AE67">
        <w:rPr>
          <w:i/>
          <w:iCs/>
        </w:rPr>
        <w:t>current</w:t>
      </w:r>
      <w:r w:rsidRPr="17E5AE67">
        <w:t xml:space="preserve"> cohort. So, if we were currently in 2023, selecting the Cohort as ‘12’ means that we are looking at students who are in y</w:t>
      </w:r>
      <w:r w:rsidR="111199E9" w:rsidRPr="17E5AE67">
        <w:t xml:space="preserve">ear 12 </w:t>
      </w:r>
      <w:r w:rsidR="111199E9" w:rsidRPr="17E5AE67">
        <w:rPr>
          <w:i/>
          <w:iCs/>
        </w:rPr>
        <w:t>now</w:t>
      </w:r>
      <w:r w:rsidR="111199E9" w:rsidRPr="17E5AE67">
        <w:t>. As we have selected</w:t>
      </w:r>
      <w:r w:rsidR="48EEC772" w:rsidRPr="17E5AE67">
        <w:t xml:space="preserve"> the Year as</w:t>
      </w:r>
      <w:r w:rsidR="111199E9" w:rsidRPr="17E5AE67">
        <w:t xml:space="preserve"> 2022, we are looking at these students when </w:t>
      </w:r>
      <w:r w:rsidR="018E3784" w:rsidRPr="17E5AE67">
        <w:t>most of</w:t>
      </w:r>
      <w:r w:rsidR="111199E9" w:rsidRPr="17E5AE67">
        <w:t xml:space="preserve"> them were in year 11.</w:t>
      </w:r>
    </w:p>
    <w:p w14:paraId="6DC0BB52" w14:textId="77777777" w:rsidR="008A2C99" w:rsidRDefault="008A2C99" w:rsidP="17E5AE67">
      <w:pPr>
        <w:spacing w:line="259" w:lineRule="auto"/>
      </w:pPr>
    </w:p>
    <w:p w14:paraId="6D11A5E2" w14:textId="77777777" w:rsidR="008A2C99" w:rsidRPr="0004208B" w:rsidRDefault="008A2C99" w:rsidP="008A2C99">
      <w:pPr>
        <w:spacing w:line="259" w:lineRule="auto"/>
      </w:pPr>
      <w:r w:rsidRPr="17E5AE67">
        <w:lastRenderedPageBreak/>
        <w:t>This is what we will see in our list – students with grades, raw scores and z-scores against the units and courses that are part of the scaling group. It will also include the standard unit value for the unit that the student completed.</w:t>
      </w:r>
    </w:p>
    <w:p w14:paraId="5915B54D" w14:textId="77777777" w:rsidR="008A2C99" w:rsidRPr="0004208B" w:rsidRDefault="008A2C99" w:rsidP="008A2C99">
      <w:pPr>
        <w:spacing w:line="259" w:lineRule="auto"/>
      </w:pPr>
      <w:r>
        <w:rPr>
          <w:noProof/>
        </w:rPr>
        <w:drawing>
          <wp:inline distT="0" distB="0" distL="0" distR="0" wp14:anchorId="2A6881C4" wp14:editId="06470257">
            <wp:extent cx="6128426" cy="1800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28426" cy="1800225"/>
                    </a:xfrm>
                    <a:prstGeom prst="rect">
                      <a:avLst/>
                    </a:prstGeom>
                  </pic:spPr>
                </pic:pic>
              </a:graphicData>
            </a:graphic>
          </wp:inline>
        </w:drawing>
      </w:r>
    </w:p>
    <w:p w14:paraId="30D941E3" w14:textId="77777777" w:rsidR="008A2C99" w:rsidRPr="0004208B" w:rsidRDefault="008A2C99" w:rsidP="008A2C99">
      <w:pPr>
        <w:spacing w:line="259" w:lineRule="auto"/>
      </w:pPr>
    </w:p>
    <w:p w14:paraId="19C15F0F" w14:textId="4B5C93FE" w:rsidR="008A2C99" w:rsidRPr="0004208B" w:rsidRDefault="008A2C99" w:rsidP="008A2C99">
      <w:pPr>
        <w:spacing w:line="259" w:lineRule="auto"/>
      </w:pPr>
      <w:r w:rsidRPr="6A7918C8">
        <w:t xml:space="preserve">All scores need to have been finalised in the </w:t>
      </w:r>
      <w:proofErr w:type="spellStart"/>
      <w:r w:rsidRPr="6A7918C8">
        <w:t>markbook</w:t>
      </w:r>
      <w:proofErr w:type="spellEnd"/>
      <w:r w:rsidRPr="6A7918C8">
        <w:t xml:space="preserve">, along with grades for all assessment items, for standardisation </w:t>
      </w:r>
      <w:r>
        <w:t xml:space="preserve">or </w:t>
      </w:r>
      <w:proofErr w:type="spellStart"/>
      <w:r>
        <w:t>backscaling</w:t>
      </w:r>
      <w:proofErr w:type="spellEnd"/>
      <w:r>
        <w:t xml:space="preserve"> </w:t>
      </w:r>
      <w:r w:rsidR="0006041F">
        <w:t>to be</w:t>
      </w:r>
      <w:r>
        <w:t xml:space="preserve"> completed</w:t>
      </w:r>
      <w:r w:rsidR="0006041F">
        <w:t>.</w:t>
      </w:r>
      <w:r w:rsidRPr="6A7918C8">
        <w:t xml:space="preserve"> It will be assumed that the various courses have been properly meshed according to BSSS policies and your school’s meshing plan for this scaling group.</w:t>
      </w:r>
    </w:p>
    <w:p w14:paraId="596C9DF6" w14:textId="77777777" w:rsidR="008A2C99" w:rsidRPr="0004208B" w:rsidRDefault="008A2C99" w:rsidP="17E5AE67">
      <w:pPr>
        <w:spacing w:line="259" w:lineRule="auto"/>
      </w:pPr>
    </w:p>
    <w:p w14:paraId="7FDA2829" w14:textId="75E170DC" w:rsidR="00190996" w:rsidRPr="0004208B" w:rsidRDefault="002320CB" w:rsidP="17E5AE67">
      <w:pPr>
        <w:pStyle w:val="Heading1"/>
      </w:pPr>
      <w:bookmarkStart w:id="16" w:name="_Toc146636616"/>
      <w:r>
        <w:t xml:space="preserve">Initial </w:t>
      </w:r>
      <w:proofErr w:type="spellStart"/>
      <w:r w:rsidR="69707FA4">
        <w:t>Standardisation</w:t>
      </w:r>
      <w:bookmarkEnd w:id="16"/>
      <w:proofErr w:type="spellEnd"/>
    </w:p>
    <w:p w14:paraId="7E133F13" w14:textId="2AD5BC3B" w:rsidR="00190996" w:rsidRPr="0004208B" w:rsidRDefault="00190996" w:rsidP="17E5AE67">
      <w:pPr>
        <w:spacing w:line="259" w:lineRule="auto"/>
      </w:pPr>
    </w:p>
    <w:p w14:paraId="73163F01" w14:textId="4F5E773F" w:rsidR="00190996" w:rsidRDefault="00B525C9" w:rsidP="17E5AE67">
      <w:pPr>
        <w:spacing w:line="259" w:lineRule="auto"/>
      </w:pPr>
      <w:r>
        <w:t>The unit scores for the first assessment period in year 11 are usually standardised to historical parameters</w:t>
      </w:r>
      <w:r w:rsidR="0059667F">
        <w:t>. In each subsequent</w:t>
      </w:r>
      <w:r w:rsidR="002E71DD">
        <w:t xml:space="preserve"> assessment period, the unit results are </w:t>
      </w:r>
      <w:proofErr w:type="spellStart"/>
      <w:r w:rsidR="002E71DD">
        <w:t>backscaled</w:t>
      </w:r>
      <w:proofErr w:type="spellEnd"/>
      <w:r w:rsidR="002E71DD">
        <w:t xml:space="preserve"> onto the results from the previous assessment period. This is BSSS </w:t>
      </w:r>
      <w:r w:rsidR="00AA7EFE">
        <w:t>policy (4.3.4.2).</w:t>
      </w:r>
    </w:p>
    <w:p w14:paraId="346E910C" w14:textId="354AE67D" w:rsidR="00AA7EFE" w:rsidRPr="0004208B" w:rsidRDefault="00AA7EFE" w:rsidP="17E5AE67">
      <w:pPr>
        <w:spacing w:line="259" w:lineRule="auto"/>
      </w:pPr>
      <w:r>
        <w:t>Where a course has been identified as a small group</w:t>
      </w:r>
      <w:r w:rsidR="00FD0C6C">
        <w:t>, schools may decide to standardise or leave final unit</w:t>
      </w:r>
      <w:r w:rsidR="00E422B0">
        <w:t xml:space="preserve"> scores as raw.</w:t>
      </w:r>
    </w:p>
    <w:p w14:paraId="26E8A020" w14:textId="7A2AFC52" w:rsidR="00190996" w:rsidRPr="0004208B" w:rsidRDefault="00190996" w:rsidP="17E5AE67">
      <w:pPr>
        <w:spacing w:line="259" w:lineRule="auto"/>
      </w:pPr>
    </w:p>
    <w:p w14:paraId="133BD61E" w14:textId="396C9111" w:rsidR="00190996" w:rsidRPr="0004208B" w:rsidDel="008A2C99" w:rsidRDefault="46D66346" w:rsidP="17E5AE67">
      <w:pPr>
        <w:spacing w:line="259" w:lineRule="auto"/>
      </w:pPr>
      <w:r w:rsidRPr="17E5AE67" w:rsidDel="008A2C99">
        <w:t xml:space="preserve">This is what we will see in our list – students with grades, raw scores and z-scores against the units and courses that are part of the scaling group. It will also include </w:t>
      </w:r>
      <w:r w:rsidR="313230D7" w:rsidRPr="17E5AE67" w:rsidDel="008A2C99">
        <w:t>the standard unit value for the unit that the student completed.</w:t>
      </w:r>
    </w:p>
    <w:p w14:paraId="0A5808E0" w14:textId="0DED3A31" w:rsidR="00190996" w:rsidRPr="0004208B" w:rsidDel="008A2C99" w:rsidRDefault="426A94F3" w:rsidP="17E5AE67">
      <w:pPr>
        <w:spacing w:line="259" w:lineRule="auto"/>
      </w:pPr>
      <w:r w:rsidDel="008A2C99">
        <w:rPr>
          <w:noProof/>
        </w:rPr>
        <w:drawing>
          <wp:inline distT="0" distB="0" distL="0" distR="0" wp14:anchorId="497A63AB" wp14:editId="07728965">
            <wp:extent cx="6128426" cy="1800225"/>
            <wp:effectExtent l="0" t="0" r="0" b="0"/>
            <wp:docPr id="90807066" name="Picture 9080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28426" cy="1800225"/>
                    </a:xfrm>
                    <a:prstGeom prst="rect">
                      <a:avLst/>
                    </a:prstGeom>
                  </pic:spPr>
                </pic:pic>
              </a:graphicData>
            </a:graphic>
          </wp:inline>
        </w:drawing>
      </w:r>
    </w:p>
    <w:p w14:paraId="56B0B439" w14:textId="60DE1256" w:rsidR="00190996" w:rsidRPr="0004208B" w:rsidDel="008A2C99" w:rsidRDefault="00190996" w:rsidP="17E5AE67">
      <w:pPr>
        <w:spacing w:line="259" w:lineRule="auto"/>
      </w:pPr>
    </w:p>
    <w:p w14:paraId="2AECAB0D" w14:textId="4CFB6BE0" w:rsidR="00190996" w:rsidRPr="0004208B" w:rsidRDefault="00190996" w:rsidP="17E5AE67">
      <w:pPr>
        <w:spacing w:line="259" w:lineRule="auto"/>
      </w:pPr>
    </w:p>
    <w:p w14:paraId="11FBE616" w14:textId="688397FB" w:rsidR="00190996" w:rsidRPr="0004208B" w:rsidRDefault="58381B88" w:rsidP="17E5AE67">
      <w:pPr>
        <w:spacing w:line="259" w:lineRule="auto"/>
      </w:pPr>
      <w:r w:rsidRPr="17E5AE67">
        <w:t>The list of actions available to us in this screen is displayed as follows:</w:t>
      </w:r>
    </w:p>
    <w:p w14:paraId="14D2A671" w14:textId="6B2247F5" w:rsidR="00190996" w:rsidRPr="0004208B" w:rsidRDefault="58381B88" w:rsidP="17E5AE67">
      <w:pPr>
        <w:spacing w:line="259" w:lineRule="auto"/>
      </w:pPr>
      <w:r>
        <w:rPr>
          <w:noProof/>
        </w:rPr>
        <w:drawing>
          <wp:inline distT="0" distB="0" distL="0" distR="0" wp14:anchorId="03F12EFB" wp14:editId="01D31624">
            <wp:extent cx="4083727" cy="876300"/>
            <wp:effectExtent l="0" t="0" r="0" b="0"/>
            <wp:docPr id="11360798" name="Picture 1136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25174" cy="906652"/>
                    </a:xfrm>
                    <a:prstGeom prst="rect">
                      <a:avLst/>
                    </a:prstGeom>
                  </pic:spPr>
                </pic:pic>
              </a:graphicData>
            </a:graphic>
          </wp:inline>
        </w:drawing>
      </w:r>
    </w:p>
    <w:p w14:paraId="755240D9" w14:textId="188F727D" w:rsidR="00190996" w:rsidRPr="0004208B" w:rsidRDefault="00190996" w:rsidP="17E5AE67">
      <w:pPr>
        <w:spacing w:line="259" w:lineRule="auto"/>
      </w:pPr>
    </w:p>
    <w:p w14:paraId="02B8056C" w14:textId="42297091" w:rsidR="00190996" w:rsidRPr="0004208B" w:rsidRDefault="58381B88" w:rsidP="17E5AE67">
      <w:pPr>
        <w:spacing w:line="259" w:lineRule="auto"/>
      </w:pPr>
      <w:r>
        <w:t>If we click on the ‘</w:t>
      </w:r>
      <w:proofErr w:type="spellStart"/>
      <w:r>
        <w:t>Backscale</w:t>
      </w:r>
      <w:proofErr w:type="spellEnd"/>
      <w:r>
        <w:t>’ button by mistake, this is what we will see:</w:t>
      </w:r>
      <w:r w:rsidR="00A678AE">
        <w:br/>
      </w:r>
      <w:r w:rsidR="58BC4DAA">
        <w:rPr>
          <w:noProof/>
        </w:rPr>
        <w:drawing>
          <wp:inline distT="0" distB="0" distL="0" distR="0" wp14:anchorId="6325FE06" wp14:editId="352F90D2">
            <wp:extent cx="5750062" cy="1952625"/>
            <wp:effectExtent l="0" t="0" r="0" b="0"/>
            <wp:docPr id="1079627706" name="Picture 107962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0062" cy="1952625"/>
                    </a:xfrm>
                    <a:prstGeom prst="rect">
                      <a:avLst/>
                    </a:prstGeom>
                  </pic:spPr>
                </pic:pic>
              </a:graphicData>
            </a:graphic>
          </wp:inline>
        </w:drawing>
      </w:r>
      <w:r w:rsidR="00A678AE">
        <w:br/>
      </w:r>
      <w:r w:rsidR="00A678AE">
        <w:br/>
      </w:r>
    </w:p>
    <w:p w14:paraId="092B3C0B" w14:textId="08175D72" w:rsidR="00190996" w:rsidRPr="0004208B" w:rsidRDefault="2FAB0F34" w:rsidP="17E5AE67">
      <w:pPr>
        <w:spacing w:line="259" w:lineRule="auto"/>
      </w:pPr>
      <w:r>
        <w:t>If we now click on ’OK’, this is what will happen:</w:t>
      </w:r>
    </w:p>
    <w:p w14:paraId="1A1522CE" w14:textId="688D4C04" w:rsidR="00190996" w:rsidRPr="0004208B" w:rsidRDefault="2FAB0F34" w:rsidP="17E5AE67">
      <w:pPr>
        <w:spacing w:line="259" w:lineRule="auto"/>
      </w:pPr>
      <w:r>
        <w:rPr>
          <w:noProof/>
        </w:rPr>
        <w:drawing>
          <wp:inline distT="0" distB="0" distL="0" distR="0" wp14:anchorId="07DC542F" wp14:editId="702315C0">
            <wp:extent cx="5761130" cy="2676525"/>
            <wp:effectExtent l="0" t="0" r="0" b="0"/>
            <wp:docPr id="494880039" name="Picture 4948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130" cy="2676525"/>
                    </a:xfrm>
                    <a:prstGeom prst="rect">
                      <a:avLst/>
                    </a:prstGeom>
                  </pic:spPr>
                </pic:pic>
              </a:graphicData>
            </a:graphic>
          </wp:inline>
        </w:drawing>
      </w:r>
    </w:p>
    <w:p w14:paraId="35508943" w14:textId="18A41BE7" w:rsidR="00F161B1" w:rsidRDefault="00F161B1" w:rsidP="17E5AE67">
      <w:pPr>
        <w:spacing w:line="259" w:lineRule="auto"/>
      </w:pPr>
    </w:p>
    <w:p w14:paraId="58305E78" w14:textId="208C454D" w:rsidR="00F161B1" w:rsidRDefault="2683F1B6" w:rsidP="17E5AE67">
      <w:pPr>
        <w:spacing w:line="259" w:lineRule="auto"/>
      </w:pPr>
      <w:r>
        <w:t xml:space="preserve">What this error means is that there is no list to </w:t>
      </w:r>
      <w:proofErr w:type="spellStart"/>
      <w:r>
        <w:t>backscale</w:t>
      </w:r>
      <w:proofErr w:type="spellEnd"/>
      <w:r>
        <w:t xml:space="preserve"> to for year 11 semester 1. This reminds you that you need to standardise.</w:t>
      </w:r>
      <w:r w:rsidR="00F161B1">
        <w:br/>
      </w:r>
      <w:r w:rsidR="00F161B1">
        <w:br/>
      </w:r>
      <w:r w:rsidR="45D5DC98">
        <w:t>If we click on the ‘Standardise’ button, this is what we see:</w:t>
      </w:r>
      <w:r w:rsidR="00F161B1">
        <w:br/>
      </w:r>
      <w:r w:rsidR="5C3405A6">
        <w:rPr>
          <w:noProof/>
        </w:rPr>
        <w:drawing>
          <wp:inline distT="0" distB="0" distL="0" distR="0" wp14:anchorId="51FB867C" wp14:editId="4B05EC78">
            <wp:extent cx="5685692" cy="1847850"/>
            <wp:effectExtent l="0" t="0" r="0" b="0"/>
            <wp:docPr id="1684619855" name="Picture 168461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85692" cy="1847850"/>
                    </a:xfrm>
                    <a:prstGeom prst="rect">
                      <a:avLst/>
                    </a:prstGeom>
                  </pic:spPr>
                </pic:pic>
              </a:graphicData>
            </a:graphic>
          </wp:inline>
        </w:drawing>
      </w:r>
    </w:p>
    <w:p w14:paraId="65E75823" w14:textId="487A24FD" w:rsidR="17E5AE67" w:rsidRDefault="17E5AE67" w:rsidP="17E5AE67">
      <w:pPr>
        <w:spacing w:line="259" w:lineRule="auto"/>
      </w:pPr>
    </w:p>
    <w:p w14:paraId="083BD7F2" w14:textId="38C537BD" w:rsidR="109CD11D" w:rsidRDefault="109CD11D" w:rsidP="17E5AE67">
      <w:pPr>
        <w:spacing w:line="259" w:lineRule="auto"/>
      </w:pPr>
      <w:r>
        <w:lastRenderedPageBreak/>
        <w:t>If we select ‘Standardise raw scores using new Mean and Std Dev to the temporary column</w:t>
      </w:r>
      <w:r w:rsidR="6B7117DA">
        <w:t>’</w:t>
      </w:r>
      <w:r>
        <w:t>, this is what we see:</w:t>
      </w:r>
      <w:r>
        <w:br/>
      </w:r>
      <w:r w:rsidR="64E21975">
        <w:rPr>
          <w:noProof/>
        </w:rPr>
        <w:drawing>
          <wp:inline distT="0" distB="0" distL="0" distR="0" wp14:anchorId="15B2ABB6" wp14:editId="5110EABE">
            <wp:extent cx="5641474" cy="2009775"/>
            <wp:effectExtent l="0" t="0" r="0" b="0"/>
            <wp:docPr id="128785976" name="Picture 12878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41474" cy="2009775"/>
                    </a:xfrm>
                    <a:prstGeom prst="rect">
                      <a:avLst/>
                    </a:prstGeom>
                  </pic:spPr>
                </pic:pic>
              </a:graphicData>
            </a:graphic>
          </wp:inline>
        </w:drawing>
      </w:r>
    </w:p>
    <w:p w14:paraId="320A93F1" w14:textId="5686F2B0" w:rsidR="17E5AE67" w:rsidRDefault="17E5AE67" w:rsidP="17E5AE67">
      <w:pPr>
        <w:spacing w:line="259" w:lineRule="auto"/>
      </w:pPr>
    </w:p>
    <w:p w14:paraId="74A542D1" w14:textId="601AAE6D" w:rsidR="03D9F554" w:rsidRDefault="03D9F554" w:rsidP="17E5AE67">
      <w:pPr>
        <w:spacing w:line="259" w:lineRule="auto"/>
      </w:pPr>
      <w:r>
        <w:t xml:space="preserve">We will need to enter the mean and standard deviation </w:t>
      </w:r>
      <w:r w:rsidR="0081747D">
        <w:t>(historical parameters)</w:t>
      </w:r>
      <w:r>
        <w:t xml:space="preserve"> for this scaling group. This should have been determine</w:t>
      </w:r>
      <w:r w:rsidR="3A4DD8F2">
        <w:t xml:space="preserve">d from historical data or student results from things like NAPLAN to enable meaningful comparisons between </w:t>
      </w:r>
      <w:r w:rsidR="2BE113EB">
        <w:t xml:space="preserve">scaling groups within a school. Note that getting these parameters ‘wrong’ is not an issue for end-of-year scaling. However, care should be taken when setting these to ensure that students get as </w:t>
      </w:r>
      <w:r w:rsidR="648F3ACF">
        <w:t xml:space="preserve">reliable </w:t>
      </w:r>
      <w:r w:rsidR="00DD74FF">
        <w:t>of a</w:t>
      </w:r>
      <w:r w:rsidR="648F3ACF">
        <w:t xml:space="preserve"> picture as possible for how they are going in one course compared to another.</w:t>
      </w:r>
    </w:p>
    <w:p w14:paraId="1377D9AD" w14:textId="1DA7CF5A" w:rsidR="17E5AE67" w:rsidRDefault="17E5AE67" w:rsidP="17E5AE67">
      <w:pPr>
        <w:spacing w:line="259" w:lineRule="auto"/>
      </w:pPr>
    </w:p>
    <w:p w14:paraId="0E0B37D6" w14:textId="7A7C3FC8" w:rsidR="648F3ACF" w:rsidRDefault="648F3ACF" w:rsidP="17E5AE67">
      <w:pPr>
        <w:spacing w:line="259" w:lineRule="auto"/>
      </w:pPr>
      <w:r>
        <w:t>When we have entered these values, we can press enter</w:t>
      </w:r>
      <w:r w:rsidR="4A5FE698">
        <w:t>. This is what we see</w:t>
      </w:r>
      <w:r>
        <w:t>:</w:t>
      </w:r>
    </w:p>
    <w:p w14:paraId="66725E68" w14:textId="7E4F424E" w:rsidR="17E5AE67" w:rsidRDefault="17E5AE67" w:rsidP="17E5AE67">
      <w:pPr>
        <w:spacing w:line="259" w:lineRule="auto"/>
      </w:pPr>
    </w:p>
    <w:p w14:paraId="484F58FD" w14:textId="05F61E09" w:rsidR="6FF48C63" w:rsidRDefault="6FF48C63" w:rsidP="17E5AE67">
      <w:pPr>
        <w:spacing w:line="259" w:lineRule="auto"/>
      </w:pPr>
      <w:r>
        <w:rPr>
          <w:noProof/>
        </w:rPr>
        <w:drawing>
          <wp:inline distT="0" distB="0" distL="0" distR="0" wp14:anchorId="66B054AF" wp14:editId="57DFABF7">
            <wp:extent cx="5238506" cy="4267200"/>
            <wp:effectExtent l="0" t="0" r="0" b="0"/>
            <wp:docPr id="1388157524" name="Picture 138815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38506" cy="4267200"/>
                    </a:xfrm>
                    <a:prstGeom prst="rect">
                      <a:avLst/>
                    </a:prstGeom>
                  </pic:spPr>
                </pic:pic>
              </a:graphicData>
            </a:graphic>
          </wp:inline>
        </w:drawing>
      </w:r>
    </w:p>
    <w:p w14:paraId="10CC8444" w14:textId="449B433F" w:rsidR="17E5AE67" w:rsidRDefault="17E5AE67" w:rsidP="17E5AE67">
      <w:pPr>
        <w:spacing w:line="259" w:lineRule="auto"/>
      </w:pPr>
    </w:p>
    <w:p w14:paraId="4C02AA34" w14:textId="4C386044" w:rsidR="015E58E1" w:rsidRDefault="015E58E1" w:rsidP="17E5AE67">
      <w:pPr>
        <w:spacing w:line="259" w:lineRule="auto"/>
      </w:pPr>
      <w:r>
        <w:lastRenderedPageBreak/>
        <w:t>Note that the mean of 65 and the Std Dev of 12.5 is what has been set in this example. As stated above, you will need to have set these using the evidence available to you.</w:t>
      </w:r>
    </w:p>
    <w:p w14:paraId="6EE2EA1F" w14:textId="7F0BE82F" w:rsidR="17E5AE67" w:rsidRDefault="17E5AE67" w:rsidP="17E5AE67">
      <w:pPr>
        <w:spacing w:line="259" w:lineRule="auto"/>
      </w:pPr>
    </w:p>
    <w:p w14:paraId="41049EED" w14:textId="629A7152" w:rsidR="015E58E1" w:rsidRDefault="015E58E1" w:rsidP="17E5AE67">
      <w:pPr>
        <w:spacing w:line="259" w:lineRule="auto"/>
      </w:pPr>
      <w:r>
        <w:t>We press ‘OK’</w:t>
      </w:r>
      <w:r w:rsidR="3A55C2A6">
        <w:t xml:space="preserve"> and the </w:t>
      </w:r>
      <w:r w:rsidR="5507C95F">
        <w:t>scaled scores are calculated for us and written into the temporary column:</w:t>
      </w:r>
      <w:r>
        <w:br/>
      </w:r>
      <w:r w:rsidR="009D9B90">
        <w:rPr>
          <w:noProof/>
        </w:rPr>
        <w:drawing>
          <wp:inline distT="0" distB="0" distL="0" distR="0" wp14:anchorId="63C51115" wp14:editId="6A7918C8">
            <wp:extent cx="5215467" cy="1466850"/>
            <wp:effectExtent l="0" t="0" r="0" b="0"/>
            <wp:docPr id="1682185043" name="Picture 168218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15467" cy="1466850"/>
                    </a:xfrm>
                    <a:prstGeom prst="rect">
                      <a:avLst/>
                    </a:prstGeom>
                  </pic:spPr>
                </pic:pic>
              </a:graphicData>
            </a:graphic>
          </wp:inline>
        </w:drawing>
      </w:r>
    </w:p>
    <w:p w14:paraId="3A2706D1" w14:textId="686121B0" w:rsidR="0004208B" w:rsidRPr="0004208B" w:rsidRDefault="0004208B" w:rsidP="6A7918C8">
      <w:pPr>
        <w:spacing w:line="259" w:lineRule="auto"/>
      </w:pPr>
      <w:r>
        <w:br/>
      </w:r>
    </w:p>
    <w:p w14:paraId="40E8AC56" w14:textId="19FDD892" w:rsidR="0004208B" w:rsidRPr="0004208B" w:rsidRDefault="0E7BA59B" w:rsidP="6A7918C8">
      <w:pPr>
        <w:spacing w:line="259" w:lineRule="auto"/>
      </w:pPr>
      <w:r>
        <w:t>If we have done everything correctly,</w:t>
      </w:r>
      <w:r w:rsidR="0DECB76C">
        <w:t xml:space="preserve"> then we are now ready to set temp to final.</w:t>
      </w:r>
      <w:r>
        <w:t xml:space="preserve"> </w:t>
      </w:r>
      <w:r>
        <w:rPr>
          <w:noProof/>
        </w:rPr>
        <w:drawing>
          <wp:inline distT="0" distB="0" distL="0" distR="0" wp14:anchorId="0DD6A9C9" wp14:editId="081F3632">
            <wp:extent cx="6200775" cy="1330583"/>
            <wp:effectExtent l="0" t="0" r="0" b="0"/>
            <wp:docPr id="1594517788" name="Picture 159451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00775" cy="1330583"/>
                    </a:xfrm>
                    <a:prstGeom prst="rect">
                      <a:avLst/>
                    </a:prstGeom>
                  </pic:spPr>
                </pic:pic>
              </a:graphicData>
            </a:graphic>
          </wp:inline>
        </w:drawing>
      </w:r>
    </w:p>
    <w:p w14:paraId="31A0DB56" w14:textId="0991FF96" w:rsidR="0004208B" w:rsidRPr="0004208B" w:rsidRDefault="4BE17FEB" w:rsidP="6A7918C8">
      <w:pPr>
        <w:spacing w:line="259" w:lineRule="auto"/>
      </w:pPr>
      <w:r>
        <w:t>Clicking on Temp to Final will bring up the below screen:</w:t>
      </w:r>
    </w:p>
    <w:p w14:paraId="6DCDE768" w14:textId="0DAEC76C" w:rsidR="0004208B" w:rsidRPr="0004208B" w:rsidRDefault="11D0C035" w:rsidP="6A7918C8">
      <w:pPr>
        <w:spacing w:line="259" w:lineRule="auto"/>
      </w:pPr>
      <w:r>
        <w:rPr>
          <w:noProof/>
        </w:rPr>
        <w:drawing>
          <wp:inline distT="0" distB="0" distL="0" distR="0" wp14:anchorId="1ACC7108" wp14:editId="674C2255">
            <wp:extent cx="6222046" cy="1724025"/>
            <wp:effectExtent l="0" t="0" r="0" b="0"/>
            <wp:docPr id="1177457948" name="Picture 117745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2046" cy="1724025"/>
                    </a:xfrm>
                    <a:prstGeom prst="rect">
                      <a:avLst/>
                    </a:prstGeom>
                  </pic:spPr>
                </pic:pic>
              </a:graphicData>
            </a:graphic>
          </wp:inline>
        </w:drawing>
      </w:r>
    </w:p>
    <w:p w14:paraId="225549FD" w14:textId="311AF289" w:rsidR="0004208B" w:rsidRPr="0004208B" w:rsidRDefault="04713F18" w:rsidP="6A7918C8">
      <w:pPr>
        <w:spacing w:line="259" w:lineRule="auto"/>
      </w:pPr>
      <w:r>
        <w:t>Click OK to complete the process:</w:t>
      </w:r>
      <w:r w:rsidR="0004208B">
        <w:br/>
      </w:r>
      <w:r w:rsidR="4DABEB35">
        <w:rPr>
          <w:noProof/>
        </w:rPr>
        <w:drawing>
          <wp:inline distT="0" distB="0" distL="0" distR="0" wp14:anchorId="4D558C0E" wp14:editId="6E8FA311">
            <wp:extent cx="6362700" cy="1816021"/>
            <wp:effectExtent l="0" t="0" r="0" b="0"/>
            <wp:docPr id="1390961285" name="Picture 139096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62700" cy="1816021"/>
                    </a:xfrm>
                    <a:prstGeom prst="rect">
                      <a:avLst/>
                    </a:prstGeom>
                  </pic:spPr>
                </pic:pic>
              </a:graphicData>
            </a:graphic>
          </wp:inline>
        </w:drawing>
      </w:r>
    </w:p>
    <w:p w14:paraId="6665BDA8" w14:textId="046B962D" w:rsidR="0004208B" w:rsidRPr="0004208B" w:rsidRDefault="0004208B" w:rsidP="0004208B">
      <w:r>
        <w:br w:type="page"/>
      </w:r>
    </w:p>
    <w:p w14:paraId="587F67AF" w14:textId="3984268B" w:rsidR="0004208B" w:rsidRPr="0004208B" w:rsidRDefault="7D4B67DE" w:rsidP="6A7918C8">
      <w:pPr>
        <w:pStyle w:val="Heading1"/>
      </w:pPr>
      <w:bookmarkStart w:id="17" w:name="_Toc146636617"/>
      <w:proofErr w:type="spellStart"/>
      <w:r>
        <w:lastRenderedPageBreak/>
        <w:t>Backscaling</w:t>
      </w:r>
      <w:bookmarkEnd w:id="17"/>
      <w:proofErr w:type="spellEnd"/>
    </w:p>
    <w:p w14:paraId="5162B49D" w14:textId="430B0C75" w:rsidR="0004208B" w:rsidRPr="0004208B" w:rsidRDefault="0004208B" w:rsidP="6A7918C8"/>
    <w:p w14:paraId="20C80E0B" w14:textId="71F8766E" w:rsidR="0004208B" w:rsidRPr="0004208B" w:rsidRDefault="3E4A21C8" w:rsidP="6A7918C8">
      <w:proofErr w:type="spellStart"/>
      <w:r>
        <w:t>Backscaling</w:t>
      </w:r>
      <w:proofErr w:type="spellEnd"/>
      <w:r>
        <w:t xml:space="preserve"> is </w:t>
      </w:r>
      <w:r w:rsidR="1113FC2F">
        <w:t xml:space="preserve">almost identical </w:t>
      </w:r>
      <w:r w:rsidR="00A348B2">
        <w:t xml:space="preserve">to </w:t>
      </w:r>
      <w:r w:rsidR="1113FC2F">
        <w:t xml:space="preserve">standardising. The only difference is that you use the </w:t>
      </w:r>
      <w:proofErr w:type="spellStart"/>
      <w:r w:rsidR="1113FC2F">
        <w:t>backscale</w:t>
      </w:r>
      <w:proofErr w:type="spellEnd"/>
      <w:r w:rsidR="1113FC2F">
        <w:t xml:space="preserve"> button. Having selected a scaling group, calendar year, cohort and assessment period, you hit </w:t>
      </w:r>
      <w:proofErr w:type="spellStart"/>
      <w:r w:rsidR="1113FC2F">
        <w:t>backscale</w:t>
      </w:r>
      <w:proofErr w:type="spellEnd"/>
      <w:r w:rsidR="1113FC2F">
        <w:t>:</w:t>
      </w:r>
    </w:p>
    <w:p w14:paraId="3C4A0B24" w14:textId="3AFA097E" w:rsidR="0004208B" w:rsidRPr="0004208B" w:rsidRDefault="22C25953" w:rsidP="6A7918C8">
      <w:r>
        <w:rPr>
          <w:noProof/>
        </w:rPr>
        <w:drawing>
          <wp:inline distT="0" distB="0" distL="0" distR="0" wp14:anchorId="39B11DEE" wp14:editId="7487220A">
            <wp:extent cx="4364052" cy="2918460"/>
            <wp:effectExtent l="0" t="0" r="0" b="0"/>
            <wp:docPr id="1374262408" name="Picture 137426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64052" cy="2918460"/>
                    </a:xfrm>
                    <a:prstGeom prst="rect">
                      <a:avLst/>
                    </a:prstGeom>
                  </pic:spPr>
                </pic:pic>
              </a:graphicData>
            </a:graphic>
          </wp:inline>
        </w:drawing>
      </w:r>
    </w:p>
    <w:p w14:paraId="5D8E792D" w14:textId="41F3CC06" w:rsidR="0004208B" w:rsidRPr="0004208B" w:rsidRDefault="22C25953" w:rsidP="6A7918C8">
      <w:r>
        <w:t>Note that again all results need to be in for all students in the scaling group:</w:t>
      </w:r>
    </w:p>
    <w:p w14:paraId="137DD8C4" w14:textId="5E7E20A4" w:rsidR="0004208B" w:rsidRPr="0004208B" w:rsidRDefault="22C25953" w:rsidP="6A7918C8">
      <w:r>
        <w:rPr>
          <w:noProof/>
        </w:rPr>
        <w:drawing>
          <wp:inline distT="0" distB="0" distL="0" distR="0" wp14:anchorId="0D0CFFC0" wp14:editId="165D2204">
            <wp:extent cx="5610225" cy="1998643"/>
            <wp:effectExtent l="0" t="0" r="0" b="0"/>
            <wp:docPr id="1317357495" name="Picture 131735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10225" cy="1998643"/>
                    </a:xfrm>
                    <a:prstGeom prst="rect">
                      <a:avLst/>
                    </a:prstGeom>
                  </pic:spPr>
                </pic:pic>
              </a:graphicData>
            </a:graphic>
          </wp:inline>
        </w:drawing>
      </w:r>
    </w:p>
    <w:p w14:paraId="1D19D2B4" w14:textId="791EEC49" w:rsidR="0004208B" w:rsidRPr="0004208B" w:rsidRDefault="0B77566A" w:rsidP="6A7918C8">
      <w:r>
        <w:rPr>
          <w:noProof/>
        </w:rPr>
        <w:drawing>
          <wp:inline distT="0" distB="0" distL="0" distR="0" wp14:anchorId="050CE535" wp14:editId="4136DFB0">
            <wp:extent cx="5610225" cy="2092147"/>
            <wp:effectExtent l="0" t="0" r="0" b="0"/>
            <wp:docPr id="893052222" name="Picture 89305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0225" cy="2092147"/>
                    </a:xfrm>
                    <a:prstGeom prst="rect">
                      <a:avLst/>
                    </a:prstGeom>
                  </pic:spPr>
                </pic:pic>
              </a:graphicData>
            </a:graphic>
          </wp:inline>
        </w:drawing>
      </w:r>
    </w:p>
    <w:p w14:paraId="46CE4D61" w14:textId="6B3DBD64" w:rsidR="0004208B" w:rsidRPr="0004208B" w:rsidRDefault="0B77566A" w:rsidP="6A7918C8">
      <w:r>
        <w:t xml:space="preserve">Clicking ‘OK’ will cause ACS to calculate the </w:t>
      </w:r>
      <w:proofErr w:type="spellStart"/>
      <w:r>
        <w:t>backscaled</w:t>
      </w:r>
      <w:proofErr w:type="spellEnd"/>
      <w:r>
        <w:t xml:space="preserve"> unit scores for all students in the scaling group.</w:t>
      </w:r>
    </w:p>
    <w:p w14:paraId="79C87A5D" w14:textId="1919F208" w:rsidR="0004208B" w:rsidRPr="0004208B" w:rsidRDefault="45074C56" w:rsidP="6A7918C8">
      <w:r>
        <w:t xml:space="preserve">The </w:t>
      </w:r>
      <w:proofErr w:type="spellStart"/>
      <w:r>
        <w:t>backscaled</w:t>
      </w:r>
      <w:proofErr w:type="spellEnd"/>
      <w:r>
        <w:t xml:space="preserve"> scores have been written to the Temp </w:t>
      </w:r>
      <w:r w:rsidR="001379AF">
        <w:t>column</w:t>
      </w:r>
      <w:r>
        <w:t>:</w:t>
      </w:r>
    </w:p>
    <w:p w14:paraId="5FD29A57" w14:textId="101D3865" w:rsidR="0004208B" w:rsidRPr="0004208B" w:rsidRDefault="45074C56" w:rsidP="6A7918C8">
      <w:r>
        <w:rPr>
          <w:noProof/>
        </w:rPr>
        <w:lastRenderedPageBreak/>
        <w:drawing>
          <wp:inline distT="0" distB="0" distL="0" distR="0" wp14:anchorId="3D5CD27A" wp14:editId="5E09A651">
            <wp:extent cx="5715000" cy="1774031"/>
            <wp:effectExtent l="0" t="0" r="0" b="0"/>
            <wp:docPr id="1888370686" name="Picture 188837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15000" cy="1774031"/>
                    </a:xfrm>
                    <a:prstGeom prst="rect">
                      <a:avLst/>
                    </a:prstGeom>
                  </pic:spPr>
                </pic:pic>
              </a:graphicData>
            </a:graphic>
          </wp:inline>
        </w:drawing>
      </w:r>
    </w:p>
    <w:p w14:paraId="6D63680E" w14:textId="163FB04B" w:rsidR="0004208B" w:rsidRPr="0004208B" w:rsidRDefault="0004208B" w:rsidP="6A7918C8"/>
    <w:p w14:paraId="45EC9856" w14:textId="2861CB6E" w:rsidR="0004208B" w:rsidRPr="0004208B" w:rsidRDefault="03AC3188" w:rsidP="6A7918C8">
      <w:r>
        <w:t>If we have done everything correctly, we then set the Temp scores to Final:</w:t>
      </w:r>
    </w:p>
    <w:p w14:paraId="30E1BC5E" w14:textId="5BA8B8D8" w:rsidR="0004208B" w:rsidRPr="0004208B" w:rsidRDefault="03AC3188" w:rsidP="6A7918C8">
      <w:r>
        <w:rPr>
          <w:noProof/>
        </w:rPr>
        <w:drawing>
          <wp:inline distT="0" distB="0" distL="0" distR="0" wp14:anchorId="37247A88" wp14:editId="3B305158">
            <wp:extent cx="6200775" cy="1330583"/>
            <wp:effectExtent l="0" t="0" r="0" b="0"/>
            <wp:docPr id="692442514" name="Picture 69244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00775" cy="1330583"/>
                    </a:xfrm>
                    <a:prstGeom prst="rect">
                      <a:avLst/>
                    </a:prstGeom>
                  </pic:spPr>
                </pic:pic>
              </a:graphicData>
            </a:graphic>
          </wp:inline>
        </w:drawing>
      </w:r>
    </w:p>
    <w:p w14:paraId="71CE984E" w14:textId="777A34CB" w:rsidR="0004208B" w:rsidRPr="0004208B" w:rsidRDefault="0004208B" w:rsidP="6A7918C8"/>
    <w:p w14:paraId="52D12A6B" w14:textId="2B5BCA98" w:rsidR="0004208B" w:rsidRPr="0004208B" w:rsidRDefault="03AC3188" w:rsidP="6A7918C8">
      <w:r>
        <w:rPr>
          <w:noProof/>
        </w:rPr>
        <w:drawing>
          <wp:inline distT="0" distB="0" distL="0" distR="0" wp14:anchorId="51CB9BE6" wp14:editId="2E98FA07">
            <wp:extent cx="6134582" cy="2019300"/>
            <wp:effectExtent l="0" t="0" r="0" b="0"/>
            <wp:docPr id="1375619804" name="Picture 137561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34582" cy="2019300"/>
                    </a:xfrm>
                    <a:prstGeom prst="rect">
                      <a:avLst/>
                    </a:prstGeom>
                  </pic:spPr>
                </pic:pic>
              </a:graphicData>
            </a:graphic>
          </wp:inline>
        </w:drawing>
      </w:r>
    </w:p>
    <w:p w14:paraId="09078B64" w14:textId="5EC355F8" w:rsidR="0004208B" w:rsidRPr="0004208B" w:rsidRDefault="0004208B" w:rsidP="6A7918C8"/>
    <w:p w14:paraId="3157CE43" w14:textId="0CE71ECE" w:rsidR="0004208B" w:rsidRPr="0004208B" w:rsidRDefault="251FD4A3" w:rsidP="6A7918C8">
      <w:r>
        <w:t>After clicking OK, the temporary scores have been written into the final column:</w:t>
      </w:r>
      <w:r w:rsidR="0004208B">
        <w:br/>
      </w:r>
      <w:r w:rsidR="74BAE4E6">
        <w:rPr>
          <w:noProof/>
        </w:rPr>
        <w:drawing>
          <wp:inline distT="0" distB="0" distL="0" distR="0" wp14:anchorId="780DF568" wp14:editId="2CD44CF0">
            <wp:extent cx="6200384" cy="1885950"/>
            <wp:effectExtent l="0" t="0" r="0" b="0"/>
            <wp:docPr id="1574181616" name="Picture 157418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200384" cy="1885950"/>
                    </a:xfrm>
                    <a:prstGeom prst="rect">
                      <a:avLst/>
                    </a:prstGeom>
                  </pic:spPr>
                </pic:pic>
              </a:graphicData>
            </a:graphic>
          </wp:inline>
        </w:drawing>
      </w:r>
    </w:p>
    <w:p w14:paraId="52FBB741" w14:textId="12893A1B" w:rsidR="0004208B" w:rsidRPr="0004208B" w:rsidRDefault="0004208B" w:rsidP="6A7918C8"/>
    <w:p w14:paraId="713DDBFC" w14:textId="5E49991E" w:rsidR="0004208B" w:rsidRPr="0004208B" w:rsidRDefault="0004208B" w:rsidP="6A7918C8"/>
    <w:p w14:paraId="471E2A9B" w14:textId="77777777" w:rsidR="00293AB0" w:rsidRDefault="00293AB0">
      <w:pPr>
        <w:rPr>
          <w:rFonts w:ascii="Cambria" w:hAnsi="Cambria"/>
          <w:b/>
          <w:sz w:val="36"/>
          <w:lang w:val="en-US"/>
        </w:rPr>
      </w:pPr>
      <w:r>
        <w:br w:type="page"/>
      </w:r>
    </w:p>
    <w:p w14:paraId="188FD280" w14:textId="3DE2F6AD" w:rsidR="0004208B" w:rsidRPr="0004208B" w:rsidRDefault="358364EF" w:rsidP="6A7918C8">
      <w:pPr>
        <w:pStyle w:val="Heading1"/>
      </w:pPr>
      <w:bookmarkStart w:id="18" w:name="_Toc146636618"/>
      <w:r>
        <w:lastRenderedPageBreak/>
        <w:t>The Comparison List</w:t>
      </w:r>
      <w:bookmarkEnd w:id="18"/>
    </w:p>
    <w:p w14:paraId="6921E3EB" w14:textId="13581672" w:rsidR="0004208B" w:rsidRPr="0004208B" w:rsidRDefault="0004208B" w:rsidP="6A7918C8"/>
    <w:p w14:paraId="2D14DEC9" w14:textId="769866D5" w:rsidR="0004208B" w:rsidRPr="0004208B" w:rsidRDefault="3D274867" w:rsidP="6A7918C8">
      <w:r>
        <w:t xml:space="preserve">If you want to compare two scaling groups, the Comparison List tab is how you do that. </w:t>
      </w:r>
      <w:r w:rsidR="3EF15D7F">
        <w:rPr>
          <w:noProof/>
        </w:rPr>
        <w:drawing>
          <wp:inline distT="0" distB="0" distL="0" distR="0" wp14:anchorId="3DA527F8" wp14:editId="4D0820D9">
            <wp:extent cx="4763860" cy="3334702"/>
            <wp:effectExtent l="0" t="0" r="0" b="0"/>
            <wp:docPr id="884876770" name="Picture 88487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763860" cy="3334702"/>
                    </a:xfrm>
                    <a:prstGeom prst="rect">
                      <a:avLst/>
                    </a:prstGeom>
                  </pic:spPr>
                </pic:pic>
              </a:graphicData>
            </a:graphic>
          </wp:inline>
        </w:drawing>
      </w:r>
    </w:p>
    <w:p w14:paraId="43C7558C" w14:textId="795ED17A" w:rsidR="0004208B" w:rsidRPr="0004208B" w:rsidRDefault="3EF15D7F" w:rsidP="6A7918C8">
      <w:r>
        <w:t>You can select any year, assessment period, cohort and scaling group to compare to the scaling group in your current list. However, the comparison is only looking at students common to both scaling groups. In this particular case, there are no c</w:t>
      </w:r>
      <w:r w:rsidR="55BF5EA4">
        <w:t xml:space="preserve">ommon </w:t>
      </w:r>
      <w:proofErr w:type="gramStart"/>
      <w:r w:rsidR="55BF5EA4">
        <w:t>students</w:t>
      </w:r>
      <w:proofErr w:type="gramEnd"/>
      <w:r w:rsidR="47078059">
        <w:t xml:space="preserve"> </w:t>
      </w:r>
      <w:r w:rsidR="55BF5EA4">
        <w:t>so the common statistics are all zero.</w:t>
      </w:r>
    </w:p>
    <w:p w14:paraId="6B27F87F" w14:textId="0BAC2667" w:rsidR="0004208B" w:rsidRPr="0004208B" w:rsidRDefault="0004208B" w:rsidP="6A7918C8"/>
    <w:p w14:paraId="58A28355" w14:textId="5356C735" w:rsidR="0004208B" w:rsidRPr="0004208B" w:rsidRDefault="55BF5EA4" w:rsidP="6A7918C8">
      <w:pPr>
        <w:spacing w:line="259" w:lineRule="auto"/>
      </w:pPr>
      <w:r>
        <w:t xml:space="preserve">If we select a scaling group list that has students in common with our current list, </w:t>
      </w:r>
      <w:r w:rsidR="232DC44D">
        <w:t>we will see this:</w:t>
      </w:r>
    </w:p>
    <w:p w14:paraId="4E588A0F" w14:textId="71AEEE27" w:rsidR="0004208B" w:rsidRPr="0004208B" w:rsidRDefault="1FAC0A96" w:rsidP="6A7918C8">
      <w:r>
        <w:rPr>
          <w:noProof/>
        </w:rPr>
        <w:drawing>
          <wp:inline distT="0" distB="0" distL="0" distR="0" wp14:anchorId="10A59850" wp14:editId="541BF6C4">
            <wp:extent cx="4695198" cy="3267075"/>
            <wp:effectExtent l="0" t="0" r="0" b="0"/>
            <wp:docPr id="1964176504" name="Picture 196417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95198" cy="3267075"/>
                    </a:xfrm>
                    <a:prstGeom prst="rect">
                      <a:avLst/>
                    </a:prstGeom>
                  </pic:spPr>
                </pic:pic>
              </a:graphicData>
            </a:graphic>
          </wp:inline>
        </w:drawing>
      </w:r>
    </w:p>
    <w:p w14:paraId="417529E7" w14:textId="12EAC107" w:rsidR="0004208B" w:rsidRPr="0004208B" w:rsidRDefault="663DE7A5" w:rsidP="6A7918C8">
      <w:r>
        <w:t xml:space="preserve">In this </w:t>
      </w:r>
      <w:proofErr w:type="gramStart"/>
      <w:r>
        <w:t>particular case</w:t>
      </w:r>
      <w:proofErr w:type="gramEnd"/>
      <w:r>
        <w:t>, we have selected the scaling group that</w:t>
      </w:r>
      <w:r w:rsidR="5B6C131A">
        <w:t xml:space="preserve"> was</w:t>
      </w:r>
      <w:r>
        <w:t xml:space="preserve"> used to </w:t>
      </w:r>
      <w:proofErr w:type="spellStart"/>
      <w:r>
        <w:t>backscale</w:t>
      </w:r>
      <w:proofErr w:type="spellEnd"/>
      <w:r>
        <w:t xml:space="preserve"> our current list.</w:t>
      </w:r>
      <w:r w:rsidR="7A6B7FA4">
        <w:t xml:space="preserve"> </w:t>
      </w:r>
      <w:r>
        <w:t xml:space="preserve">As such, we can see that the Comparison Finals </w:t>
      </w:r>
      <w:r w:rsidR="21954C2C">
        <w:t>and</w:t>
      </w:r>
      <w:r>
        <w:t xml:space="preserve"> New Current List statistics</w:t>
      </w:r>
      <w:r w:rsidR="683098BD">
        <w:t xml:space="preserve"> are very similar</w:t>
      </w:r>
      <w:r>
        <w:t>.</w:t>
      </w:r>
      <w:r w:rsidR="0004208B">
        <w:br/>
      </w:r>
      <w:r w:rsidR="0004208B">
        <w:lastRenderedPageBreak/>
        <w:br/>
      </w:r>
      <w:r w:rsidR="16F5FC3E">
        <w:t>In the below situation, this is not the case:</w:t>
      </w:r>
    </w:p>
    <w:p w14:paraId="2EBED9ED" w14:textId="2A2EF4C7" w:rsidR="0004208B" w:rsidRPr="0004208B" w:rsidRDefault="16F5FC3E" w:rsidP="6A7918C8">
      <w:r>
        <w:rPr>
          <w:noProof/>
        </w:rPr>
        <w:drawing>
          <wp:inline distT="0" distB="0" distL="0" distR="0" wp14:anchorId="06CBF6B8" wp14:editId="02AA3131">
            <wp:extent cx="4476750" cy="2881908"/>
            <wp:effectExtent l="0" t="0" r="0" b="0"/>
            <wp:docPr id="1265788734" name="Picture 126578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476750" cy="2881908"/>
                    </a:xfrm>
                    <a:prstGeom prst="rect">
                      <a:avLst/>
                    </a:prstGeom>
                  </pic:spPr>
                </pic:pic>
              </a:graphicData>
            </a:graphic>
          </wp:inline>
        </w:drawing>
      </w:r>
    </w:p>
    <w:p w14:paraId="563D016C" w14:textId="2F5B1490" w:rsidR="0004208B" w:rsidRPr="0004208B" w:rsidRDefault="0004208B" w:rsidP="6A7918C8"/>
    <w:p w14:paraId="000BA9F9" w14:textId="0A233216" w:rsidR="0004208B" w:rsidRPr="0004208B" w:rsidRDefault="16F5FC3E" w:rsidP="6A7918C8">
      <w:r>
        <w:t>Remember: we are only comparing the students that are in both lists.</w:t>
      </w:r>
    </w:p>
    <w:p w14:paraId="62AF6E4F" w14:textId="1ED5075D" w:rsidR="0004208B" w:rsidRPr="0004208B" w:rsidRDefault="0004208B" w:rsidP="6A7918C8"/>
    <w:p w14:paraId="38D157F6" w14:textId="5230354C" w:rsidR="0004208B" w:rsidRPr="0004208B" w:rsidRDefault="74056739" w:rsidP="6A7918C8">
      <w:r>
        <w:t>There is no necessity for you to look at these if you do not want to. Some schools</w:t>
      </w:r>
      <w:r w:rsidR="1A871FC9">
        <w:t>, however,</w:t>
      </w:r>
      <w:r>
        <w:t xml:space="preserve"> may want to compare their parameters for students between scaling groups, particularly in year 11, to ensure tha</w:t>
      </w:r>
      <w:r w:rsidR="052F923C">
        <w:t>t things are behaving as expected. A school might also use the scaling parameters</w:t>
      </w:r>
      <w:r w:rsidR="4D5C80DD">
        <w:t xml:space="preserve"> from similar scaling groups to standardise.</w:t>
      </w:r>
      <w:r w:rsidR="052F923C">
        <w:t xml:space="preserve"> </w:t>
      </w:r>
      <w:r w:rsidR="3DF2132B">
        <w:t>F</w:t>
      </w:r>
      <w:r w:rsidR="052F923C">
        <w:t xml:space="preserve">or </w:t>
      </w:r>
      <w:r w:rsidR="72F3F708">
        <w:t xml:space="preserve">example, a school might use the statistics from </w:t>
      </w:r>
      <w:r w:rsidR="00EC1A91">
        <w:t xml:space="preserve">the </w:t>
      </w:r>
      <w:r w:rsidR="052F923C">
        <w:t>English</w:t>
      </w:r>
      <w:r w:rsidR="00EC1A91">
        <w:t xml:space="preserve"> scaling group</w:t>
      </w:r>
      <w:r w:rsidR="052F923C">
        <w:t xml:space="preserve"> to standardise</w:t>
      </w:r>
      <w:r w:rsidR="00EC1A91">
        <w:t xml:space="preserve"> the </w:t>
      </w:r>
      <w:r w:rsidR="0090411D">
        <w:t>Humanities scaling group</w:t>
      </w:r>
      <w:r w:rsidR="052F923C">
        <w:t>.</w:t>
      </w:r>
    </w:p>
    <w:p w14:paraId="4210884F" w14:textId="39A3CD3F" w:rsidR="0004208B" w:rsidRPr="0004208B" w:rsidRDefault="0004208B" w:rsidP="6A7918C8"/>
    <w:p w14:paraId="47360AA2" w14:textId="7B1F5BAE" w:rsidR="0004208B" w:rsidRPr="0004208B" w:rsidRDefault="199AFF44" w:rsidP="6A7918C8">
      <w:r>
        <w:t>In the Comparison List, you will also see students in blue who are in both scaling groups and students in white who are not in the Current List:</w:t>
      </w:r>
    </w:p>
    <w:p w14:paraId="47252A3C" w14:textId="705BDD77" w:rsidR="0004208B" w:rsidRPr="0004208B" w:rsidRDefault="199AFF44" w:rsidP="6A7918C8">
      <w:r>
        <w:rPr>
          <w:noProof/>
        </w:rPr>
        <w:drawing>
          <wp:inline distT="0" distB="0" distL="0" distR="0" wp14:anchorId="59085099" wp14:editId="6C69B673">
            <wp:extent cx="4429125" cy="1171872"/>
            <wp:effectExtent l="0" t="0" r="0" b="0"/>
            <wp:docPr id="1433842751" name="Picture 143384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29125" cy="1171872"/>
                    </a:xfrm>
                    <a:prstGeom prst="rect">
                      <a:avLst/>
                    </a:prstGeom>
                  </pic:spPr>
                </pic:pic>
              </a:graphicData>
            </a:graphic>
          </wp:inline>
        </w:drawing>
      </w:r>
    </w:p>
    <w:p w14:paraId="63933E69" w14:textId="7DF70EBA" w:rsidR="0004208B" w:rsidRPr="0004208B" w:rsidRDefault="199AFF44" w:rsidP="6A7918C8">
      <w:r>
        <w:t>Similarly, in the Current List, you will see students in blue who are in both scaling groups and students in white who are not in the Comparison List:</w:t>
      </w:r>
      <w:r>
        <w:rPr>
          <w:noProof/>
        </w:rPr>
        <w:drawing>
          <wp:inline distT="0" distB="0" distL="0" distR="0" wp14:anchorId="496775F6" wp14:editId="3AA1DB5E">
            <wp:extent cx="4165600" cy="1562100"/>
            <wp:effectExtent l="0" t="0" r="0" b="0"/>
            <wp:docPr id="1074124824" name="Picture 107412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5600" cy="1562100"/>
                    </a:xfrm>
                    <a:prstGeom prst="rect">
                      <a:avLst/>
                    </a:prstGeom>
                  </pic:spPr>
                </pic:pic>
              </a:graphicData>
            </a:graphic>
          </wp:inline>
        </w:drawing>
      </w:r>
    </w:p>
    <w:p w14:paraId="7F3DF3B2" w14:textId="0DD470E5" w:rsidR="0004208B" w:rsidRPr="0004208B" w:rsidRDefault="0004208B" w:rsidP="6A7918C8"/>
    <w:p w14:paraId="0321F841" w14:textId="17B7C8BE" w:rsidR="0004208B" w:rsidRPr="0004208B" w:rsidRDefault="358364EF" w:rsidP="6A7918C8">
      <w:pPr>
        <w:pStyle w:val="Heading1"/>
      </w:pPr>
      <w:bookmarkStart w:id="19" w:name="_Toc146636619"/>
      <w:r>
        <w:lastRenderedPageBreak/>
        <w:t>Looking at courses and units in a scaling group</w:t>
      </w:r>
      <w:bookmarkEnd w:id="19"/>
    </w:p>
    <w:p w14:paraId="04633A22" w14:textId="54D42CDA" w:rsidR="0004208B" w:rsidRPr="0004208B" w:rsidRDefault="780804EF" w:rsidP="6A7918C8">
      <w:r>
        <w:t>If we want to see student results from a course or unit within a scaling group, we can use the dropdowns on the right to do so.</w:t>
      </w:r>
    </w:p>
    <w:p w14:paraId="2A3DABDD" w14:textId="0F21628E" w:rsidR="0004208B" w:rsidRPr="0004208B" w:rsidRDefault="780804EF" w:rsidP="6A7918C8">
      <w:r>
        <w:rPr>
          <w:noProof/>
        </w:rPr>
        <w:drawing>
          <wp:inline distT="0" distB="0" distL="0" distR="0" wp14:anchorId="5D760659" wp14:editId="3BF4193D">
            <wp:extent cx="5838825" cy="973138"/>
            <wp:effectExtent l="0" t="0" r="0" b="0"/>
            <wp:docPr id="1773570746" name="Picture 177357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8825" cy="973138"/>
                    </a:xfrm>
                    <a:prstGeom prst="rect">
                      <a:avLst/>
                    </a:prstGeom>
                  </pic:spPr>
                </pic:pic>
              </a:graphicData>
            </a:graphic>
          </wp:inline>
        </w:drawing>
      </w:r>
    </w:p>
    <w:p w14:paraId="637EE8AB" w14:textId="568B9BEC" w:rsidR="0004208B" w:rsidRPr="0004208B" w:rsidRDefault="0004208B" w:rsidP="6A7918C8"/>
    <w:p w14:paraId="30F2E323" w14:textId="7C6904EE" w:rsidR="0004208B" w:rsidRPr="0004208B" w:rsidRDefault="780804EF" w:rsidP="6A7918C8">
      <w:r>
        <w:t>In scaling group 10, for example, we have the following courses:</w:t>
      </w:r>
    </w:p>
    <w:p w14:paraId="4BDD65CF" w14:textId="01712FA5" w:rsidR="0004208B" w:rsidRPr="0004208B" w:rsidRDefault="780804EF" w:rsidP="6A7918C8">
      <w:r>
        <w:rPr>
          <w:noProof/>
        </w:rPr>
        <w:drawing>
          <wp:inline distT="0" distB="0" distL="0" distR="0" wp14:anchorId="317AAC84" wp14:editId="76CDF602">
            <wp:extent cx="4181475" cy="1463516"/>
            <wp:effectExtent l="0" t="0" r="0" b="0"/>
            <wp:docPr id="2124540512" name="Picture 212454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181475" cy="1463516"/>
                    </a:xfrm>
                    <a:prstGeom prst="rect">
                      <a:avLst/>
                    </a:prstGeom>
                  </pic:spPr>
                </pic:pic>
              </a:graphicData>
            </a:graphic>
          </wp:inline>
        </w:drawing>
      </w:r>
    </w:p>
    <w:p w14:paraId="1CB1AD65" w14:textId="708A7FCB" w:rsidR="0004208B" w:rsidRPr="0004208B" w:rsidRDefault="0004208B" w:rsidP="6A7918C8"/>
    <w:p w14:paraId="33447F37" w14:textId="1F7D6B98" w:rsidR="0004208B" w:rsidRPr="0004208B" w:rsidRDefault="780804EF" w:rsidP="6A7918C8">
      <w:r>
        <w:t xml:space="preserve">If we select Mathematical Methods, for example, we will see all Actions buttons grey out except </w:t>
      </w:r>
      <w:r w:rsidR="4EC99376">
        <w:t>P</w:t>
      </w:r>
      <w:r>
        <w:t>rint:</w:t>
      </w:r>
    </w:p>
    <w:p w14:paraId="29CEDE46" w14:textId="04281360" w:rsidR="0004208B" w:rsidRPr="0004208B" w:rsidRDefault="780804EF" w:rsidP="6A7918C8">
      <w:r>
        <w:rPr>
          <w:noProof/>
        </w:rPr>
        <w:drawing>
          <wp:inline distT="0" distB="0" distL="0" distR="0" wp14:anchorId="787C518A" wp14:editId="2015DF67">
            <wp:extent cx="4572000" cy="952500"/>
            <wp:effectExtent l="0" t="0" r="0" b="0"/>
            <wp:docPr id="1383467666" name="Picture 138346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952500"/>
                    </a:xfrm>
                    <a:prstGeom prst="rect">
                      <a:avLst/>
                    </a:prstGeom>
                  </pic:spPr>
                </pic:pic>
              </a:graphicData>
            </a:graphic>
          </wp:inline>
        </w:drawing>
      </w:r>
    </w:p>
    <w:p w14:paraId="1832101C" w14:textId="77777777" w:rsidR="00F45F0D" w:rsidRDefault="00F45F0D" w:rsidP="6A7918C8"/>
    <w:p w14:paraId="79667E52" w14:textId="65B85427" w:rsidR="00F45F0D" w:rsidRPr="0004208B" w:rsidRDefault="00F45F0D" w:rsidP="6A7918C8">
      <w:r>
        <w:t xml:space="preserve">This is because </w:t>
      </w:r>
      <w:proofErr w:type="spellStart"/>
      <w:r w:rsidR="004A30C9">
        <w:t>backscaling</w:t>
      </w:r>
      <w:proofErr w:type="spellEnd"/>
      <w:r w:rsidR="004A30C9">
        <w:t xml:space="preserve"> </w:t>
      </w:r>
      <w:r w:rsidR="00F55A74">
        <w:t>is required by policy to be done at the scaling group level.</w:t>
      </w:r>
    </w:p>
    <w:p w14:paraId="48DE5563" w14:textId="25CF276F" w:rsidR="0004208B" w:rsidRPr="0004208B" w:rsidRDefault="0004208B" w:rsidP="6A7918C8"/>
    <w:p w14:paraId="22002579" w14:textId="77E4D9FA" w:rsidR="0004208B" w:rsidRPr="0004208B" w:rsidRDefault="780804EF" w:rsidP="6A7918C8">
      <w:r>
        <w:t>Our list will also change to only display students studying Mathematical Methods:</w:t>
      </w:r>
    </w:p>
    <w:p w14:paraId="41CB8D52" w14:textId="73BB2981" w:rsidR="0004208B" w:rsidRPr="0004208B" w:rsidRDefault="7A7684D7" w:rsidP="6A7918C8">
      <w:r>
        <w:rPr>
          <w:noProof/>
        </w:rPr>
        <w:drawing>
          <wp:inline distT="0" distB="0" distL="0" distR="0" wp14:anchorId="1DB03BB9" wp14:editId="3D59E3D3">
            <wp:extent cx="6381750" cy="957262"/>
            <wp:effectExtent l="0" t="0" r="0" b="0"/>
            <wp:docPr id="75166202" name="Picture 7516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81750" cy="957262"/>
                    </a:xfrm>
                    <a:prstGeom prst="rect">
                      <a:avLst/>
                    </a:prstGeom>
                  </pic:spPr>
                </pic:pic>
              </a:graphicData>
            </a:graphic>
          </wp:inline>
        </w:drawing>
      </w:r>
    </w:p>
    <w:p w14:paraId="0A3DC71E" w14:textId="56ED7DDE" w:rsidR="0004208B" w:rsidRPr="0004208B" w:rsidRDefault="009B082A" w:rsidP="6A7918C8">
      <w:r>
        <w:t>We can do the same thing in the Comparison List tab to compare courses and units</w:t>
      </w:r>
      <w:r w:rsidR="1024AE45">
        <w:t>:</w:t>
      </w:r>
      <w:r w:rsidR="42FD9A94">
        <w:rPr>
          <w:noProof/>
        </w:rPr>
        <w:drawing>
          <wp:inline distT="0" distB="0" distL="0" distR="0" wp14:anchorId="65581F31" wp14:editId="564AF82C">
            <wp:extent cx="3457575" cy="799564"/>
            <wp:effectExtent l="0" t="0" r="0" b="0"/>
            <wp:docPr id="77747724" name="Picture 777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457575" cy="799564"/>
                    </a:xfrm>
                    <a:prstGeom prst="rect">
                      <a:avLst/>
                    </a:prstGeom>
                  </pic:spPr>
                </pic:pic>
              </a:graphicData>
            </a:graphic>
          </wp:inline>
        </w:drawing>
      </w:r>
      <w:r w:rsidR="0004208B">
        <w:br/>
      </w:r>
      <w:r w:rsidR="632E2637">
        <w:t>This compares student results in methods from one semester to the other</w:t>
      </w:r>
      <w:r w:rsidR="00C644BF">
        <w:t xml:space="preserve"> and may be useful for meshing courses in </w:t>
      </w:r>
      <w:r w:rsidR="00BB7F71">
        <w:t>subsequent assessment periods</w:t>
      </w:r>
      <w:r w:rsidR="632E2637">
        <w:t>:</w:t>
      </w:r>
      <w:r w:rsidR="0004208B">
        <w:br/>
      </w:r>
      <w:r w:rsidR="78549C6C">
        <w:rPr>
          <w:noProof/>
        </w:rPr>
        <w:drawing>
          <wp:inline distT="0" distB="0" distL="0" distR="0" wp14:anchorId="55A3012B" wp14:editId="019C4BA5">
            <wp:extent cx="3935895" cy="942975"/>
            <wp:effectExtent l="0" t="0" r="0" b="0"/>
            <wp:docPr id="175450093" name="Picture 17545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35895" cy="942975"/>
                    </a:xfrm>
                    <a:prstGeom prst="rect">
                      <a:avLst/>
                    </a:prstGeom>
                  </pic:spPr>
                </pic:pic>
              </a:graphicData>
            </a:graphic>
          </wp:inline>
        </w:drawing>
      </w:r>
    </w:p>
    <w:p w14:paraId="0B383E09" w14:textId="1CC03678" w:rsidR="0004208B" w:rsidRPr="0004208B" w:rsidRDefault="0004208B" w:rsidP="0004208B">
      <w:r>
        <w:br w:type="page"/>
      </w:r>
    </w:p>
    <w:p w14:paraId="41A24198" w14:textId="5B982EF8" w:rsidR="00560540" w:rsidRDefault="5E69865A" w:rsidP="00CB61FB">
      <w:pPr>
        <w:pStyle w:val="Heading1"/>
      </w:pPr>
      <w:bookmarkStart w:id="20" w:name="_Toc233360166"/>
      <w:bookmarkStart w:id="21" w:name="_Toc233870483"/>
      <w:bookmarkStart w:id="22" w:name="_Toc235717841"/>
      <w:bookmarkStart w:id="23" w:name="_Toc235717861"/>
      <w:bookmarkStart w:id="24" w:name="_Toc306267148"/>
      <w:bookmarkStart w:id="25" w:name="_Toc355939748"/>
      <w:bookmarkStart w:id="26" w:name="_Toc146636620"/>
      <w:r>
        <w:lastRenderedPageBreak/>
        <w:t>Histogram</w:t>
      </w:r>
      <w:bookmarkEnd w:id="21"/>
      <w:bookmarkEnd w:id="22"/>
      <w:bookmarkEnd w:id="23"/>
      <w:bookmarkEnd w:id="24"/>
      <w:bookmarkEnd w:id="25"/>
      <w:r w:rsidR="4E2364D5">
        <w:t xml:space="preserve"> Ta</w:t>
      </w:r>
      <w:r w:rsidR="58BDF77C">
        <w:t>b</w:t>
      </w:r>
      <w:bookmarkEnd w:id="26"/>
    </w:p>
    <w:bookmarkEnd w:id="20"/>
    <w:p w14:paraId="1BB94EB2" w14:textId="77777777" w:rsidR="00560540" w:rsidRDefault="00560540" w:rsidP="6A7918C8">
      <w:pPr>
        <w:rPr>
          <w:b/>
          <w:bCs/>
        </w:rPr>
      </w:pPr>
    </w:p>
    <w:p w14:paraId="580A2EB3" w14:textId="2FB14399" w:rsidR="58BDF77C" w:rsidRDefault="58BDF77C" w:rsidP="6A7918C8">
      <w:pPr>
        <w:rPr>
          <w:b/>
          <w:bCs/>
        </w:rPr>
      </w:pPr>
      <w:r>
        <w:t>To see the histograms for your scaling group lists, select the histogram tab:</w:t>
      </w:r>
    </w:p>
    <w:p w14:paraId="0BBA214F" w14:textId="471AE293" w:rsidR="58BDF77C" w:rsidRDefault="58BDF77C" w:rsidP="6A7918C8">
      <w:r>
        <w:rPr>
          <w:noProof/>
        </w:rPr>
        <w:drawing>
          <wp:inline distT="0" distB="0" distL="0" distR="0" wp14:anchorId="78954F9E" wp14:editId="6C2594D4">
            <wp:extent cx="4572000" cy="1200150"/>
            <wp:effectExtent l="0" t="0" r="0" b="0"/>
            <wp:docPr id="1053223854" name="Picture 105322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200150"/>
                    </a:xfrm>
                    <a:prstGeom prst="rect">
                      <a:avLst/>
                    </a:prstGeom>
                  </pic:spPr>
                </pic:pic>
              </a:graphicData>
            </a:graphic>
          </wp:inline>
        </w:drawing>
      </w:r>
    </w:p>
    <w:p w14:paraId="2029B697" w14:textId="333D2A11" w:rsidR="6A7918C8" w:rsidRDefault="6A7918C8" w:rsidP="6A7918C8"/>
    <w:p w14:paraId="473C2FD4" w14:textId="2EAA29D8" w:rsidR="58BDF77C" w:rsidRDefault="58BDF77C" w:rsidP="6A7918C8">
      <w:r>
        <w:t>Then you will need to hit refresh on both the Current List histogram and the Comparison List histogram:</w:t>
      </w:r>
    </w:p>
    <w:p w14:paraId="06636C6A" w14:textId="325E567C" w:rsidR="58BDF77C" w:rsidRDefault="58BDF77C" w:rsidP="6A7918C8">
      <w:r>
        <w:rPr>
          <w:noProof/>
        </w:rPr>
        <w:drawing>
          <wp:inline distT="0" distB="0" distL="0" distR="0" wp14:anchorId="5724899E" wp14:editId="6A9321B0">
            <wp:extent cx="3524250" cy="4572000"/>
            <wp:effectExtent l="0" t="0" r="0" b="0"/>
            <wp:docPr id="1567821472" name="Picture 15678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4250" cy="4572000"/>
                    </a:xfrm>
                    <a:prstGeom prst="rect">
                      <a:avLst/>
                    </a:prstGeom>
                  </pic:spPr>
                </pic:pic>
              </a:graphicData>
            </a:graphic>
          </wp:inline>
        </w:drawing>
      </w:r>
    </w:p>
    <w:p w14:paraId="1032521E" w14:textId="34A4E4E9" w:rsidR="58BDF77C" w:rsidRDefault="58BDF77C" w:rsidP="6A7918C8">
      <w:r>
        <w:t>This will bring up the graphs and the statistics for your two scaling group lists, broken out by unit.</w:t>
      </w:r>
    </w:p>
    <w:p w14:paraId="5D927492" w14:textId="77777777" w:rsidR="0045403A" w:rsidRDefault="0045403A" w:rsidP="6A7918C8"/>
    <w:p w14:paraId="73C37363" w14:textId="77777777" w:rsidR="00D42A70" w:rsidRDefault="00D42A70">
      <w:pPr>
        <w:rPr>
          <w:rFonts w:ascii="Cambria" w:hAnsi="Cambria"/>
          <w:b/>
          <w:sz w:val="36"/>
          <w:lang w:val="en-US"/>
        </w:rPr>
      </w:pPr>
      <w:bookmarkStart w:id="27" w:name="_Toc146636621"/>
      <w:r>
        <w:br w:type="page"/>
      </w:r>
    </w:p>
    <w:p w14:paraId="7FF0F0AC" w14:textId="55B09EA8" w:rsidR="0045403A" w:rsidRPr="0004208B" w:rsidRDefault="0045403A" w:rsidP="0045403A">
      <w:pPr>
        <w:pStyle w:val="Heading1"/>
      </w:pPr>
      <w:r>
        <w:lastRenderedPageBreak/>
        <w:t>Providing access to scaling group lists</w:t>
      </w:r>
      <w:bookmarkEnd w:id="27"/>
    </w:p>
    <w:p w14:paraId="594DF689" w14:textId="77777777" w:rsidR="0045403A" w:rsidRPr="0004208B" w:rsidRDefault="0045403A" w:rsidP="0045403A">
      <w:pPr>
        <w:rPr>
          <w:lang w:val="en-US"/>
        </w:rPr>
      </w:pPr>
      <w:r w:rsidRPr="6A7918C8">
        <w:rPr>
          <w:lang w:val="en-US"/>
        </w:rPr>
        <w:t>Permissions to scaling groups follow the following guidelines:</w:t>
      </w:r>
    </w:p>
    <w:p w14:paraId="1EF7CFF2" w14:textId="77777777" w:rsidR="0045403A" w:rsidRDefault="0045403A" w:rsidP="0045403A">
      <w:pPr>
        <w:pStyle w:val="ListBullet"/>
        <w:numPr>
          <w:ilvl w:val="0"/>
          <w:numId w:val="2"/>
        </w:numPr>
        <w:rPr>
          <w:lang w:val="en-US"/>
        </w:rPr>
      </w:pPr>
      <w:r w:rsidRPr="6A7918C8">
        <w:rPr>
          <w:lang w:val="en-US"/>
        </w:rPr>
        <w:t xml:space="preserve">The Basic and Faculty Head users can access scaling group lists via the menu </w:t>
      </w:r>
      <w:proofErr w:type="gramStart"/>
      <w:r w:rsidRPr="6A7918C8">
        <w:rPr>
          <w:lang w:val="en-US"/>
        </w:rPr>
        <w:t>system</w:t>
      </w:r>
      <w:proofErr w:type="gramEnd"/>
      <w:r w:rsidRPr="6A7918C8">
        <w:rPr>
          <w:lang w:val="en-US"/>
        </w:rPr>
        <w:t xml:space="preserve"> </w:t>
      </w:r>
    </w:p>
    <w:p w14:paraId="23F13927" w14:textId="77777777" w:rsidR="0045403A" w:rsidRDefault="0045403A" w:rsidP="0045403A">
      <w:pPr>
        <w:pStyle w:val="ListBullet"/>
        <w:numPr>
          <w:ilvl w:val="0"/>
          <w:numId w:val="2"/>
        </w:numPr>
        <w:rPr>
          <w:lang w:val="en-US"/>
        </w:rPr>
      </w:pPr>
      <w:r w:rsidRPr="6A7918C8">
        <w:rPr>
          <w:lang w:val="en-US"/>
        </w:rPr>
        <w:t xml:space="preserve">Access to scaling groups lists is controlled via the </w:t>
      </w:r>
      <w:proofErr w:type="spellStart"/>
      <w:r w:rsidRPr="6A7918C8">
        <w:rPr>
          <w:lang w:val="en-US"/>
        </w:rPr>
        <w:t>markbook</w:t>
      </w:r>
      <w:proofErr w:type="spellEnd"/>
      <w:r w:rsidRPr="6A7918C8">
        <w:rPr>
          <w:lang w:val="en-US"/>
        </w:rPr>
        <w:t xml:space="preserve"> security set up for the user. In other words, if the user has been given access to scaling group 1 in </w:t>
      </w:r>
      <w:proofErr w:type="spellStart"/>
      <w:r w:rsidRPr="6A7918C8">
        <w:rPr>
          <w:lang w:val="en-US"/>
        </w:rPr>
        <w:t>markbook</w:t>
      </w:r>
      <w:proofErr w:type="spellEnd"/>
      <w:r w:rsidRPr="6A7918C8">
        <w:rPr>
          <w:lang w:val="en-US"/>
        </w:rPr>
        <w:t xml:space="preserve"> security, then this user can access all scaling group lists for scaling group 1.</w:t>
      </w:r>
    </w:p>
    <w:p w14:paraId="782A5685" w14:textId="77777777" w:rsidR="0045403A" w:rsidRDefault="0045403A" w:rsidP="0045403A">
      <w:pPr>
        <w:pStyle w:val="ListBullet"/>
        <w:numPr>
          <w:ilvl w:val="0"/>
          <w:numId w:val="2"/>
        </w:numPr>
        <w:rPr>
          <w:lang w:val="en-US"/>
        </w:rPr>
      </w:pPr>
      <w:r w:rsidRPr="6A7918C8">
        <w:rPr>
          <w:lang w:val="en-US"/>
        </w:rPr>
        <w:t xml:space="preserve">If users have only been granted access to specific </w:t>
      </w:r>
      <w:proofErr w:type="spellStart"/>
      <w:r w:rsidRPr="6A7918C8">
        <w:rPr>
          <w:lang w:val="en-US"/>
        </w:rPr>
        <w:t>markbooks</w:t>
      </w:r>
      <w:proofErr w:type="spellEnd"/>
      <w:r w:rsidRPr="6A7918C8">
        <w:rPr>
          <w:lang w:val="en-US"/>
        </w:rPr>
        <w:t xml:space="preserve"> only then they will NOT be able to access scaling group lists.</w:t>
      </w:r>
    </w:p>
    <w:p w14:paraId="0B4625DB" w14:textId="77777777" w:rsidR="0045403A" w:rsidRPr="00560540" w:rsidRDefault="0045403A" w:rsidP="0045403A">
      <w:pPr>
        <w:pStyle w:val="ListBullet"/>
        <w:numPr>
          <w:ilvl w:val="0"/>
          <w:numId w:val="2"/>
        </w:numPr>
        <w:rPr>
          <w:lang w:val="en-US"/>
        </w:rPr>
      </w:pPr>
      <w:r>
        <w:t xml:space="preserve">By </w:t>
      </w:r>
      <w:proofErr w:type="gramStart"/>
      <w:r>
        <w:t>default</w:t>
      </w:r>
      <w:proofErr w:type="gramEnd"/>
      <w:r>
        <w:t xml:space="preserve"> those with Edit and above permissions can access all scaling groups. Access can be granted to specific scaling group lists. Users with access to a scaling group will have access to all scaling group lists, current or future, in that scaling group.</w:t>
      </w:r>
    </w:p>
    <w:p w14:paraId="1D26E7A7" w14:textId="77777777" w:rsidR="0045403A" w:rsidRDefault="0045403A" w:rsidP="0045403A">
      <w:pPr>
        <w:rPr>
          <w:b/>
        </w:rPr>
      </w:pPr>
    </w:p>
    <w:p w14:paraId="7891A1C5" w14:textId="77777777" w:rsidR="0045403A" w:rsidRDefault="0045403A" w:rsidP="0045403A">
      <w:pPr>
        <w:pStyle w:val="acs"/>
        <w:numPr>
          <w:ilvl w:val="0"/>
          <w:numId w:val="0"/>
        </w:numPr>
      </w:pPr>
      <w:r>
        <w:t xml:space="preserve">Under the </w:t>
      </w:r>
      <w:proofErr w:type="spellStart"/>
      <w:r w:rsidRPr="6A7918C8">
        <w:rPr>
          <w:b/>
          <w:bCs/>
        </w:rPr>
        <w:t>Markbooks</w:t>
      </w:r>
      <w:proofErr w:type="spellEnd"/>
      <w:r>
        <w:t xml:space="preserve"> heading in the menu pane select </w:t>
      </w:r>
      <w:r w:rsidRPr="6A7918C8">
        <w:rPr>
          <w:b/>
          <w:bCs/>
        </w:rPr>
        <w:t>User Access</w:t>
      </w:r>
      <w:r>
        <w:t xml:space="preserve"> and the following screen will appear:</w:t>
      </w:r>
    </w:p>
    <w:p w14:paraId="05F7F3F0" w14:textId="77777777" w:rsidR="0045403A" w:rsidRDefault="0045403A" w:rsidP="0045403A">
      <w:pPr>
        <w:pStyle w:val="bulletsACS"/>
        <w:numPr>
          <w:ilvl w:val="0"/>
          <w:numId w:val="0"/>
        </w:numPr>
        <w:ind w:left="1745" w:hanging="425"/>
      </w:pPr>
    </w:p>
    <w:p w14:paraId="1455EAEC" w14:textId="77777777" w:rsidR="0045403A" w:rsidRDefault="0045403A" w:rsidP="0045403A">
      <w:pPr>
        <w:jc w:val="center"/>
      </w:pPr>
      <w:r>
        <w:rPr>
          <w:noProof/>
          <w:lang w:eastAsia="en-AU"/>
        </w:rPr>
        <w:drawing>
          <wp:inline distT="0" distB="0" distL="0" distR="0" wp14:anchorId="360DAB46" wp14:editId="45706689">
            <wp:extent cx="3359150" cy="1149350"/>
            <wp:effectExtent l="0" t="0" r="0" b="0"/>
            <wp:docPr id="4" name="Picture 4" descr="User Access page for scaling groups" title="User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59150" cy="1149350"/>
                    </a:xfrm>
                    <a:prstGeom prst="rect">
                      <a:avLst/>
                    </a:prstGeom>
                  </pic:spPr>
                </pic:pic>
              </a:graphicData>
            </a:graphic>
          </wp:inline>
        </w:drawing>
      </w:r>
    </w:p>
    <w:p w14:paraId="3F222412" w14:textId="77777777" w:rsidR="0045403A" w:rsidRDefault="0045403A" w:rsidP="0045403A"/>
    <w:p w14:paraId="1BCE9331" w14:textId="77777777" w:rsidR="0045403A" w:rsidRDefault="0045403A" w:rsidP="0045403A">
      <w:pPr>
        <w:pStyle w:val="bulletsACS"/>
        <w:numPr>
          <w:ilvl w:val="0"/>
          <w:numId w:val="0"/>
        </w:numPr>
        <w:tabs>
          <w:tab w:val="num" w:pos="709"/>
        </w:tabs>
      </w:pPr>
      <w:r>
        <w:t xml:space="preserve">Click on the </w:t>
      </w:r>
      <w:proofErr w:type="gramStart"/>
      <w:r w:rsidRPr="6A7918C8">
        <w:rPr>
          <w:b/>
          <w:bCs/>
          <w:i/>
          <w:iCs/>
        </w:rPr>
        <w:t>User Name</w:t>
      </w:r>
      <w:proofErr w:type="gramEnd"/>
      <w:r>
        <w:t xml:space="preserve"> hyperlink to select a user. To assist in finding users, the filter option is available. Only the Basic Users and VET Users are shown. The following screen appears:</w:t>
      </w:r>
    </w:p>
    <w:p w14:paraId="5EF191AB" w14:textId="77777777" w:rsidR="0045403A" w:rsidRDefault="0045403A" w:rsidP="0045403A">
      <w:pPr>
        <w:pStyle w:val="bulletsACS"/>
        <w:numPr>
          <w:ilvl w:val="0"/>
          <w:numId w:val="0"/>
        </w:numPr>
        <w:jc w:val="center"/>
      </w:pPr>
      <w:r>
        <w:rPr>
          <w:noProof/>
          <w:lang w:eastAsia="en-AU"/>
        </w:rPr>
        <w:drawing>
          <wp:inline distT="0" distB="0" distL="0" distR="0" wp14:anchorId="041A61E7" wp14:editId="032A7D04">
            <wp:extent cx="2762250" cy="2006600"/>
            <wp:effectExtent l="0" t="0" r="0" b="0"/>
            <wp:docPr id="5" name="Picture 5" descr="Markbook Access Section for assigning scaling group permissions" title="Markbook Acc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62250" cy="2006600"/>
                    </a:xfrm>
                    <a:prstGeom prst="rect">
                      <a:avLst/>
                    </a:prstGeom>
                  </pic:spPr>
                </pic:pic>
              </a:graphicData>
            </a:graphic>
          </wp:inline>
        </w:drawing>
      </w:r>
    </w:p>
    <w:p w14:paraId="746E4946" w14:textId="77777777" w:rsidR="0045403A" w:rsidRDefault="0045403A" w:rsidP="0045403A">
      <w:pPr>
        <w:rPr>
          <w:b/>
        </w:rPr>
      </w:pPr>
    </w:p>
    <w:p w14:paraId="45FE01CF" w14:textId="77777777" w:rsidR="0045403A" w:rsidRDefault="0045403A" w:rsidP="0045403A">
      <w:pPr>
        <w:pStyle w:val="bulletsACS"/>
        <w:numPr>
          <w:ilvl w:val="0"/>
          <w:numId w:val="0"/>
        </w:numPr>
        <w:tabs>
          <w:tab w:val="num" w:pos="851"/>
        </w:tabs>
      </w:pPr>
      <w:r>
        <w:t>Click in the check boxes next to the scaling group number. The scaling group number is for both year 11 and year 12 scaling groups. (</w:t>
      </w:r>
      <w:proofErr w:type="gramStart"/>
      <w:r>
        <w:t>in</w:t>
      </w:r>
      <w:proofErr w:type="gramEnd"/>
      <w:r>
        <w:t xml:space="preserve"> other words, clicking on 5 gives the user access to all </w:t>
      </w:r>
      <w:proofErr w:type="spellStart"/>
      <w:r>
        <w:t>markbooks</w:t>
      </w:r>
      <w:proofErr w:type="spellEnd"/>
      <w:r>
        <w:t xml:space="preserve"> in scaling group 5 for both year 11 and 12 students).</w:t>
      </w:r>
    </w:p>
    <w:p w14:paraId="3C9833F2" w14:textId="77777777" w:rsidR="0045403A" w:rsidRDefault="0045403A" w:rsidP="0045403A">
      <w:pPr>
        <w:pStyle w:val="bulletsACS"/>
        <w:numPr>
          <w:ilvl w:val="0"/>
          <w:numId w:val="0"/>
        </w:numPr>
        <w:tabs>
          <w:tab w:val="num" w:pos="851"/>
        </w:tabs>
      </w:pPr>
      <w:r>
        <w:br/>
        <w:t xml:space="preserve">Click on the </w:t>
      </w:r>
      <w:r w:rsidRPr="6A7918C8">
        <w:rPr>
          <w:b/>
          <w:bCs/>
          <w:i/>
          <w:iCs/>
        </w:rPr>
        <w:t>Save</w:t>
      </w:r>
      <w:r>
        <w:t xml:space="preserve"> button. The scaling groups for which that user has access will appear.</w:t>
      </w:r>
      <w:r>
        <w:br/>
      </w:r>
      <w:r>
        <w:br/>
        <w:t xml:space="preserve">To remove access, uncheck the check boxes in the </w:t>
      </w:r>
      <w:proofErr w:type="spellStart"/>
      <w:r w:rsidRPr="6A7918C8">
        <w:rPr>
          <w:b/>
          <w:bCs/>
        </w:rPr>
        <w:t>Markbook</w:t>
      </w:r>
      <w:proofErr w:type="spellEnd"/>
      <w:r w:rsidRPr="6A7918C8">
        <w:rPr>
          <w:b/>
          <w:bCs/>
        </w:rPr>
        <w:t xml:space="preserve"> Access</w:t>
      </w:r>
      <w:r>
        <w:t xml:space="preserve"> screen and click the </w:t>
      </w:r>
      <w:r w:rsidRPr="6A7918C8">
        <w:rPr>
          <w:b/>
          <w:bCs/>
          <w:i/>
          <w:iCs/>
        </w:rPr>
        <w:t xml:space="preserve">Save </w:t>
      </w:r>
      <w:r>
        <w:t>button.</w:t>
      </w:r>
    </w:p>
    <w:p w14:paraId="143205FE" w14:textId="77777777" w:rsidR="0045403A" w:rsidRDefault="0045403A" w:rsidP="6A7918C8"/>
    <w:sectPr w:rsidR="0045403A">
      <w:headerReference w:type="default" r:id="rId43"/>
      <w:footerReference w:type="default" r:id="rId44"/>
      <w:pgSz w:w="12240" w:h="15840" w:code="1"/>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DFA50" w14:textId="77777777" w:rsidR="0044429B" w:rsidRDefault="0044429B">
      <w:r>
        <w:separator/>
      </w:r>
    </w:p>
  </w:endnote>
  <w:endnote w:type="continuationSeparator" w:id="0">
    <w:p w14:paraId="502A0792" w14:textId="77777777" w:rsidR="0044429B" w:rsidRDefault="0044429B">
      <w:r>
        <w:continuationSeparator/>
      </w:r>
    </w:p>
  </w:endnote>
  <w:endnote w:type="continuationNotice" w:id="1">
    <w:p w14:paraId="50D1AC0E" w14:textId="77777777" w:rsidR="008F6102" w:rsidRDefault="008F6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EEFF" w14:textId="77777777" w:rsidR="0044429B" w:rsidRPr="0000424A" w:rsidRDefault="0044429B" w:rsidP="00DD6BF8">
    <w:pPr>
      <w:pBdr>
        <w:top w:val="single" w:sz="18" w:space="1" w:color="auto"/>
      </w:pBdr>
      <w:jc w:val="right"/>
      <w:rPr>
        <w:i/>
        <w:iCs/>
        <w:sz w:val="16"/>
        <w:szCs w:val="16"/>
        <w:lang w:val="en-US"/>
      </w:rPr>
    </w:pPr>
    <w:r w:rsidRPr="0000424A">
      <w:rPr>
        <w:i/>
        <w:iCs/>
        <w:sz w:val="16"/>
        <w:szCs w:val="16"/>
        <w:lang w:val="en-US"/>
      </w:rPr>
      <w:t xml:space="preserve">Page </w:t>
    </w:r>
    <w:r w:rsidRPr="0000424A">
      <w:rPr>
        <w:sz w:val="16"/>
        <w:szCs w:val="16"/>
      </w:rPr>
      <w:fldChar w:fldCharType="begin"/>
    </w:r>
    <w:r w:rsidRPr="0000424A">
      <w:rPr>
        <w:sz w:val="16"/>
        <w:szCs w:val="16"/>
      </w:rPr>
      <w:instrText xml:space="preserve"> PAGE </w:instrText>
    </w:r>
    <w:r w:rsidRPr="0000424A">
      <w:rPr>
        <w:sz w:val="16"/>
        <w:szCs w:val="16"/>
      </w:rPr>
      <w:fldChar w:fldCharType="separate"/>
    </w:r>
    <w:r w:rsidR="0094162F">
      <w:rPr>
        <w:noProof/>
        <w:sz w:val="16"/>
        <w:szCs w:val="16"/>
      </w:rPr>
      <w:t>2</w:t>
    </w:r>
    <w:r w:rsidRPr="0000424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12698" w14:textId="77777777" w:rsidR="0044429B" w:rsidRDefault="0044429B">
      <w:r>
        <w:separator/>
      </w:r>
    </w:p>
  </w:footnote>
  <w:footnote w:type="continuationSeparator" w:id="0">
    <w:p w14:paraId="3B9F518E" w14:textId="77777777" w:rsidR="0044429B" w:rsidRDefault="0044429B">
      <w:r>
        <w:continuationSeparator/>
      </w:r>
    </w:p>
  </w:footnote>
  <w:footnote w:type="continuationNotice" w:id="1">
    <w:p w14:paraId="65389E2C" w14:textId="77777777" w:rsidR="008F6102" w:rsidRDefault="008F61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3E08" w14:textId="77777777" w:rsidR="0044429B" w:rsidRPr="00701404" w:rsidRDefault="0044429B" w:rsidP="00DD6BF8">
    <w:pPr>
      <w:pBdr>
        <w:bottom w:val="single" w:sz="18" w:space="1" w:color="auto"/>
      </w:pBdr>
      <w:jc w:val="right"/>
      <w:rPr>
        <w:rFonts w:cs="Arial"/>
        <w:i/>
        <w:iCs/>
        <w:sz w:val="16"/>
        <w:lang w:val="en-US"/>
      </w:rPr>
    </w:pPr>
    <w:r>
      <w:rPr>
        <w:rFonts w:cs="Arial"/>
        <w:i/>
        <w:iCs/>
        <w:sz w:val="16"/>
        <w:lang w:val="en-US"/>
      </w:rPr>
      <w:t>S</w:t>
    </w:r>
    <w:r w:rsidR="0005063C">
      <w:rPr>
        <w:rFonts w:cs="Arial"/>
        <w:i/>
        <w:iCs/>
        <w:sz w:val="16"/>
        <w:lang w:val="en-US"/>
      </w:rPr>
      <w:t>caling Groups</w:t>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215E"/>
    <w:multiLevelType w:val="hybridMultilevel"/>
    <w:tmpl w:val="FBDE3250"/>
    <w:lvl w:ilvl="0" w:tplc="63CE5F00">
      <w:start w:val="1"/>
      <w:numFmt w:val="bullet"/>
      <w:pStyle w:val="acs1"/>
      <w:lvlText w:val=""/>
      <w:lvlJc w:val="left"/>
      <w:pPr>
        <w:tabs>
          <w:tab w:val="num" w:pos="1505"/>
        </w:tabs>
        <w:ind w:left="1505" w:hanging="425"/>
      </w:pPr>
      <w:rPr>
        <w:rFonts w:ascii="Symbol" w:hAnsi="Symbol" w:hint="default"/>
        <w:sz w:val="20"/>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9C59B6"/>
    <w:multiLevelType w:val="hybridMultilevel"/>
    <w:tmpl w:val="D04450C6"/>
    <w:lvl w:ilvl="0" w:tplc="F3CEECB2">
      <w:start w:val="1"/>
      <w:numFmt w:val="bullet"/>
      <w:pStyle w:val="acs"/>
      <w:lvlText w:val=""/>
      <w:lvlJc w:val="left"/>
      <w:pPr>
        <w:tabs>
          <w:tab w:val="num" w:pos="1505"/>
        </w:tabs>
        <w:ind w:left="1505" w:hanging="425"/>
      </w:pPr>
      <w:rPr>
        <w:rFonts w:ascii="Symbol" w:hAnsi="Symbol" w:hint="default"/>
        <w:sz w:val="20"/>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4044FA"/>
    <w:multiLevelType w:val="hybridMultilevel"/>
    <w:tmpl w:val="BC3A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4E62C9"/>
    <w:multiLevelType w:val="hybridMultilevel"/>
    <w:tmpl w:val="BC547C80"/>
    <w:lvl w:ilvl="0" w:tplc="FFFFFFFF">
      <w:start w:val="1"/>
      <w:numFmt w:val="bullet"/>
      <w:pStyle w:val="bulletsACS"/>
      <w:lvlText w:val=""/>
      <w:lvlJc w:val="left"/>
      <w:pPr>
        <w:tabs>
          <w:tab w:val="num" w:pos="1745"/>
        </w:tabs>
        <w:ind w:left="1745" w:hanging="425"/>
      </w:pPr>
      <w:rPr>
        <w:rFonts w:ascii="Symbol" w:hAnsi="Symbol" w:hint="default"/>
        <w:sz w:val="22"/>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83F6A3F"/>
    <w:multiLevelType w:val="hybridMultilevel"/>
    <w:tmpl w:val="9196B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C219DD"/>
    <w:multiLevelType w:val="hybridMultilevel"/>
    <w:tmpl w:val="E718FF1E"/>
    <w:lvl w:ilvl="0" w:tplc="1224397C">
      <w:start w:val="1"/>
      <w:numFmt w:val="bullet"/>
      <w:pStyle w:val="ACs2level"/>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1224397C"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BCB6C87"/>
    <w:multiLevelType w:val="hybridMultilevel"/>
    <w:tmpl w:val="B142C2D0"/>
    <w:lvl w:ilvl="0" w:tplc="119867D2">
      <w:start w:val="1"/>
      <w:numFmt w:val="bullet"/>
      <w:pStyle w:val="Style1"/>
      <w:lvlText w:val=""/>
      <w:lvlJc w:val="left"/>
      <w:pPr>
        <w:tabs>
          <w:tab w:val="num" w:pos="1145"/>
        </w:tabs>
        <w:ind w:left="1145" w:hanging="425"/>
      </w:pPr>
      <w:rPr>
        <w:rFonts w:ascii="Symbol" w:hAnsi="Symbol" w:hint="default"/>
        <w:sz w:val="20"/>
      </w:rPr>
    </w:lvl>
    <w:lvl w:ilvl="1" w:tplc="4650F306" w:tentative="1">
      <w:start w:val="1"/>
      <w:numFmt w:val="bullet"/>
      <w:lvlText w:val="o"/>
      <w:lvlJc w:val="left"/>
      <w:pPr>
        <w:tabs>
          <w:tab w:val="num" w:pos="1440"/>
        </w:tabs>
        <w:ind w:left="1440" w:hanging="360"/>
      </w:pPr>
      <w:rPr>
        <w:rFonts w:ascii="Courier New" w:hAnsi="Courier New" w:hint="default"/>
      </w:rPr>
    </w:lvl>
    <w:lvl w:ilvl="2" w:tplc="D076E280" w:tentative="1">
      <w:start w:val="1"/>
      <w:numFmt w:val="bullet"/>
      <w:lvlText w:val=""/>
      <w:lvlJc w:val="left"/>
      <w:pPr>
        <w:tabs>
          <w:tab w:val="num" w:pos="2160"/>
        </w:tabs>
        <w:ind w:left="2160" w:hanging="360"/>
      </w:pPr>
      <w:rPr>
        <w:rFonts w:ascii="Wingdings" w:hAnsi="Wingdings" w:hint="default"/>
      </w:rPr>
    </w:lvl>
    <w:lvl w:ilvl="3" w:tplc="DDAC93D2" w:tentative="1">
      <w:start w:val="1"/>
      <w:numFmt w:val="bullet"/>
      <w:lvlText w:val=""/>
      <w:lvlJc w:val="left"/>
      <w:pPr>
        <w:tabs>
          <w:tab w:val="num" w:pos="2880"/>
        </w:tabs>
        <w:ind w:left="2880" w:hanging="360"/>
      </w:pPr>
      <w:rPr>
        <w:rFonts w:ascii="Symbol" w:hAnsi="Symbol" w:hint="default"/>
      </w:rPr>
    </w:lvl>
    <w:lvl w:ilvl="4" w:tplc="55E6CBA2" w:tentative="1">
      <w:start w:val="1"/>
      <w:numFmt w:val="bullet"/>
      <w:lvlText w:val="o"/>
      <w:lvlJc w:val="left"/>
      <w:pPr>
        <w:tabs>
          <w:tab w:val="num" w:pos="3600"/>
        </w:tabs>
        <w:ind w:left="3600" w:hanging="360"/>
      </w:pPr>
      <w:rPr>
        <w:rFonts w:ascii="Courier New" w:hAnsi="Courier New" w:hint="default"/>
      </w:rPr>
    </w:lvl>
    <w:lvl w:ilvl="5" w:tplc="84A8C70C" w:tentative="1">
      <w:start w:val="1"/>
      <w:numFmt w:val="bullet"/>
      <w:lvlText w:val=""/>
      <w:lvlJc w:val="left"/>
      <w:pPr>
        <w:tabs>
          <w:tab w:val="num" w:pos="4320"/>
        </w:tabs>
        <w:ind w:left="4320" w:hanging="360"/>
      </w:pPr>
      <w:rPr>
        <w:rFonts w:ascii="Wingdings" w:hAnsi="Wingdings" w:hint="default"/>
      </w:rPr>
    </w:lvl>
    <w:lvl w:ilvl="6" w:tplc="98DC9890" w:tentative="1">
      <w:start w:val="1"/>
      <w:numFmt w:val="bullet"/>
      <w:lvlText w:val=""/>
      <w:lvlJc w:val="left"/>
      <w:pPr>
        <w:tabs>
          <w:tab w:val="num" w:pos="5040"/>
        </w:tabs>
        <w:ind w:left="5040" w:hanging="360"/>
      </w:pPr>
      <w:rPr>
        <w:rFonts w:ascii="Symbol" w:hAnsi="Symbol" w:hint="default"/>
      </w:rPr>
    </w:lvl>
    <w:lvl w:ilvl="7" w:tplc="33E8A0E4" w:tentative="1">
      <w:start w:val="1"/>
      <w:numFmt w:val="bullet"/>
      <w:lvlText w:val="o"/>
      <w:lvlJc w:val="left"/>
      <w:pPr>
        <w:tabs>
          <w:tab w:val="num" w:pos="5760"/>
        </w:tabs>
        <w:ind w:left="5760" w:hanging="360"/>
      </w:pPr>
      <w:rPr>
        <w:rFonts w:ascii="Courier New" w:hAnsi="Courier New" w:hint="default"/>
      </w:rPr>
    </w:lvl>
    <w:lvl w:ilvl="8" w:tplc="DECCEFA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7CD23B"/>
    <w:multiLevelType w:val="hybridMultilevel"/>
    <w:tmpl w:val="FFFFFFFF"/>
    <w:lvl w:ilvl="0" w:tplc="3134E850">
      <w:start w:val="1"/>
      <w:numFmt w:val="bullet"/>
      <w:lvlText w:val=""/>
      <w:lvlJc w:val="left"/>
      <w:pPr>
        <w:ind w:left="1745" w:hanging="425"/>
      </w:pPr>
      <w:rPr>
        <w:rFonts w:ascii="Symbol" w:hAnsi="Symbol" w:hint="default"/>
      </w:rPr>
    </w:lvl>
    <w:lvl w:ilvl="1" w:tplc="DC763DF8">
      <w:start w:val="1"/>
      <w:numFmt w:val="bullet"/>
      <w:lvlText w:val="o"/>
      <w:lvlJc w:val="left"/>
      <w:pPr>
        <w:ind w:left="1440" w:hanging="360"/>
      </w:pPr>
      <w:rPr>
        <w:rFonts w:ascii="Courier New" w:hAnsi="Courier New" w:hint="default"/>
      </w:rPr>
    </w:lvl>
    <w:lvl w:ilvl="2" w:tplc="B868EDDC">
      <w:start w:val="1"/>
      <w:numFmt w:val="bullet"/>
      <w:lvlText w:val=""/>
      <w:lvlJc w:val="left"/>
      <w:pPr>
        <w:ind w:left="2160" w:hanging="360"/>
      </w:pPr>
      <w:rPr>
        <w:rFonts w:ascii="Wingdings" w:hAnsi="Wingdings" w:hint="default"/>
      </w:rPr>
    </w:lvl>
    <w:lvl w:ilvl="3" w:tplc="CDF4C634">
      <w:start w:val="1"/>
      <w:numFmt w:val="bullet"/>
      <w:lvlText w:val=""/>
      <w:lvlJc w:val="left"/>
      <w:pPr>
        <w:ind w:left="2880" w:hanging="360"/>
      </w:pPr>
      <w:rPr>
        <w:rFonts w:ascii="Symbol" w:hAnsi="Symbol" w:hint="default"/>
      </w:rPr>
    </w:lvl>
    <w:lvl w:ilvl="4" w:tplc="6F5A4888">
      <w:start w:val="1"/>
      <w:numFmt w:val="bullet"/>
      <w:lvlText w:val="o"/>
      <w:lvlJc w:val="left"/>
      <w:pPr>
        <w:ind w:left="3600" w:hanging="360"/>
      </w:pPr>
      <w:rPr>
        <w:rFonts w:ascii="Courier New" w:hAnsi="Courier New" w:hint="default"/>
      </w:rPr>
    </w:lvl>
    <w:lvl w:ilvl="5" w:tplc="034A94C6">
      <w:start w:val="1"/>
      <w:numFmt w:val="bullet"/>
      <w:lvlText w:val=""/>
      <w:lvlJc w:val="left"/>
      <w:pPr>
        <w:ind w:left="4320" w:hanging="360"/>
      </w:pPr>
      <w:rPr>
        <w:rFonts w:ascii="Wingdings" w:hAnsi="Wingdings" w:hint="default"/>
      </w:rPr>
    </w:lvl>
    <w:lvl w:ilvl="6" w:tplc="11D09624">
      <w:start w:val="1"/>
      <w:numFmt w:val="bullet"/>
      <w:lvlText w:val=""/>
      <w:lvlJc w:val="left"/>
      <w:pPr>
        <w:ind w:left="5040" w:hanging="360"/>
      </w:pPr>
      <w:rPr>
        <w:rFonts w:ascii="Symbol" w:hAnsi="Symbol" w:hint="default"/>
      </w:rPr>
    </w:lvl>
    <w:lvl w:ilvl="7" w:tplc="686E9ADC">
      <w:start w:val="1"/>
      <w:numFmt w:val="bullet"/>
      <w:lvlText w:val="o"/>
      <w:lvlJc w:val="left"/>
      <w:pPr>
        <w:ind w:left="5760" w:hanging="360"/>
      </w:pPr>
      <w:rPr>
        <w:rFonts w:ascii="Courier New" w:hAnsi="Courier New" w:hint="default"/>
      </w:rPr>
    </w:lvl>
    <w:lvl w:ilvl="8" w:tplc="636C822E">
      <w:start w:val="1"/>
      <w:numFmt w:val="bullet"/>
      <w:lvlText w:val=""/>
      <w:lvlJc w:val="left"/>
      <w:pPr>
        <w:ind w:left="6480" w:hanging="360"/>
      </w:pPr>
      <w:rPr>
        <w:rFonts w:ascii="Wingdings" w:hAnsi="Wingdings" w:hint="default"/>
      </w:rPr>
    </w:lvl>
  </w:abstractNum>
  <w:abstractNum w:abstractNumId="8" w15:restartNumberingAfterBreak="0">
    <w:nsid w:val="4F9E1789"/>
    <w:multiLevelType w:val="hybridMultilevel"/>
    <w:tmpl w:val="4F3AB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1C2094"/>
    <w:multiLevelType w:val="hybridMultilevel"/>
    <w:tmpl w:val="BD141C5E"/>
    <w:lvl w:ilvl="0" w:tplc="B3D0D67C">
      <w:start w:val="1"/>
      <w:numFmt w:val="bullet"/>
      <w:pStyle w:val="acs2Arial"/>
      <w:lvlText w:val="o"/>
      <w:lvlJc w:val="left"/>
      <w:pPr>
        <w:tabs>
          <w:tab w:val="num" w:pos="1080"/>
        </w:tabs>
        <w:ind w:left="1080"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1354E"/>
    <w:multiLevelType w:val="hybridMultilevel"/>
    <w:tmpl w:val="60120B10"/>
    <w:lvl w:ilvl="0" w:tplc="0C090001">
      <w:start w:val="1"/>
      <w:numFmt w:val="bullet"/>
      <w:pStyle w:val="acs2"/>
      <w:lvlText w:val="o"/>
      <w:lvlJc w:val="left"/>
      <w:pPr>
        <w:tabs>
          <w:tab w:val="num" w:pos="1800"/>
        </w:tabs>
        <w:ind w:left="1800" w:hanging="360"/>
      </w:pPr>
      <w:rPr>
        <w:rFonts w:ascii="Courier New" w:hAnsi="Courier New" w:hint="default"/>
      </w:rPr>
    </w:lvl>
    <w:lvl w:ilvl="1" w:tplc="0C090003">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num w:numId="1" w16cid:durableId="2133938171">
    <w:abstractNumId w:val="7"/>
  </w:num>
  <w:num w:numId="2" w16cid:durableId="596718591">
    <w:abstractNumId w:val="4"/>
  </w:num>
  <w:num w:numId="3" w16cid:durableId="1859347242">
    <w:abstractNumId w:val="1"/>
  </w:num>
  <w:num w:numId="4" w16cid:durableId="572392812">
    <w:abstractNumId w:val="5"/>
  </w:num>
  <w:num w:numId="5" w16cid:durableId="475801326">
    <w:abstractNumId w:val="10"/>
  </w:num>
  <w:num w:numId="6" w16cid:durableId="1692680753">
    <w:abstractNumId w:val="3"/>
  </w:num>
  <w:num w:numId="7" w16cid:durableId="2035182913">
    <w:abstractNumId w:val="6"/>
  </w:num>
  <w:num w:numId="8" w16cid:durableId="771441685">
    <w:abstractNumId w:val="8"/>
  </w:num>
  <w:num w:numId="9" w16cid:durableId="994184155">
    <w:abstractNumId w:val="0"/>
  </w:num>
  <w:num w:numId="10" w16cid:durableId="517087936">
    <w:abstractNumId w:val="9"/>
  </w:num>
  <w:num w:numId="11" w16cid:durableId="101233627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191"/>
    <w:rsid w:val="00002FF1"/>
    <w:rsid w:val="0000424A"/>
    <w:rsid w:val="00012350"/>
    <w:rsid w:val="00017DE3"/>
    <w:rsid w:val="00027790"/>
    <w:rsid w:val="0004208B"/>
    <w:rsid w:val="0005063C"/>
    <w:rsid w:val="0005378D"/>
    <w:rsid w:val="00055CE3"/>
    <w:rsid w:val="000569BF"/>
    <w:rsid w:val="00057B86"/>
    <w:rsid w:val="0006041F"/>
    <w:rsid w:val="00073C27"/>
    <w:rsid w:val="000778F2"/>
    <w:rsid w:val="00091E48"/>
    <w:rsid w:val="0009302D"/>
    <w:rsid w:val="00097DFB"/>
    <w:rsid w:val="00097E5D"/>
    <w:rsid w:val="000A01DE"/>
    <w:rsid w:val="000A2793"/>
    <w:rsid w:val="000A774C"/>
    <w:rsid w:val="000B72E2"/>
    <w:rsid w:val="000C6254"/>
    <w:rsid w:val="000D0326"/>
    <w:rsid w:val="000E1362"/>
    <w:rsid w:val="000E36A2"/>
    <w:rsid w:val="000E4DD0"/>
    <w:rsid w:val="000E4DE1"/>
    <w:rsid w:val="000E5FF6"/>
    <w:rsid w:val="000F617B"/>
    <w:rsid w:val="000F6A86"/>
    <w:rsid w:val="001131A8"/>
    <w:rsid w:val="00114CFD"/>
    <w:rsid w:val="001221D2"/>
    <w:rsid w:val="00122C3D"/>
    <w:rsid w:val="00132FC9"/>
    <w:rsid w:val="0013546A"/>
    <w:rsid w:val="001379AF"/>
    <w:rsid w:val="00137F19"/>
    <w:rsid w:val="00140623"/>
    <w:rsid w:val="0014063C"/>
    <w:rsid w:val="001425A8"/>
    <w:rsid w:val="00142D49"/>
    <w:rsid w:val="00146EBC"/>
    <w:rsid w:val="00150DED"/>
    <w:rsid w:val="001657A1"/>
    <w:rsid w:val="00171565"/>
    <w:rsid w:val="00181C3C"/>
    <w:rsid w:val="00182CDD"/>
    <w:rsid w:val="00190996"/>
    <w:rsid w:val="00196BFA"/>
    <w:rsid w:val="001A7D57"/>
    <w:rsid w:val="001B0E58"/>
    <w:rsid w:val="001D14E3"/>
    <w:rsid w:val="001D43A1"/>
    <w:rsid w:val="001E28F6"/>
    <w:rsid w:val="001E6054"/>
    <w:rsid w:val="001F165B"/>
    <w:rsid w:val="001F1DA2"/>
    <w:rsid w:val="001F5CBB"/>
    <w:rsid w:val="00207015"/>
    <w:rsid w:val="00224F88"/>
    <w:rsid w:val="002320CB"/>
    <w:rsid w:val="00236C6B"/>
    <w:rsid w:val="00236F87"/>
    <w:rsid w:val="00240548"/>
    <w:rsid w:val="00241317"/>
    <w:rsid w:val="00244544"/>
    <w:rsid w:val="00244FCC"/>
    <w:rsid w:val="002631A4"/>
    <w:rsid w:val="0027269A"/>
    <w:rsid w:val="0028120C"/>
    <w:rsid w:val="00283D34"/>
    <w:rsid w:val="00284C87"/>
    <w:rsid w:val="0029239B"/>
    <w:rsid w:val="00293AB0"/>
    <w:rsid w:val="0029627B"/>
    <w:rsid w:val="002B03AD"/>
    <w:rsid w:val="002B22DA"/>
    <w:rsid w:val="002B38C4"/>
    <w:rsid w:val="002C12C9"/>
    <w:rsid w:val="002D12E7"/>
    <w:rsid w:val="002D617A"/>
    <w:rsid w:val="002D7FE4"/>
    <w:rsid w:val="002E2D90"/>
    <w:rsid w:val="002E71DD"/>
    <w:rsid w:val="002F313A"/>
    <w:rsid w:val="002F6559"/>
    <w:rsid w:val="00315AD5"/>
    <w:rsid w:val="00315C31"/>
    <w:rsid w:val="00317DD8"/>
    <w:rsid w:val="003212A4"/>
    <w:rsid w:val="00321DD6"/>
    <w:rsid w:val="00323C93"/>
    <w:rsid w:val="003268F7"/>
    <w:rsid w:val="00326BAC"/>
    <w:rsid w:val="0033663F"/>
    <w:rsid w:val="0034532E"/>
    <w:rsid w:val="00347F1D"/>
    <w:rsid w:val="0035296A"/>
    <w:rsid w:val="003549CC"/>
    <w:rsid w:val="003562D7"/>
    <w:rsid w:val="003578A7"/>
    <w:rsid w:val="00366E63"/>
    <w:rsid w:val="00391396"/>
    <w:rsid w:val="00391EC0"/>
    <w:rsid w:val="0039404E"/>
    <w:rsid w:val="003A0B79"/>
    <w:rsid w:val="003A643F"/>
    <w:rsid w:val="003B66CC"/>
    <w:rsid w:val="003C44A4"/>
    <w:rsid w:val="003D33D9"/>
    <w:rsid w:val="003E621E"/>
    <w:rsid w:val="003F52A9"/>
    <w:rsid w:val="004017C2"/>
    <w:rsid w:val="00402A73"/>
    <w:rsid w:val="00415E87"/>
    <w:rsid w:val="0042224B"/>
    <w:rsid w:val="00424567"/>
    <w:rsid w:val="0043332C"/>
    <w:rsid w:val="00434158"/>
    <w:rsid w:val="00437ED7"/>
    <w:rsid w:val="004406C0"/>
    <w:rsid w:val="00442747"/>
    <w:rsid w:val="004427B0"/>
    <w:rsid w:val="004436E6"/>
    <w:rsid w:val="0044429B"/>
    <w:rsid w:val="00445864"/>
    <w:rsid w:val="004464E6"/>
    <w:rsid w:val="0045403A"/>
    <w:rsid w:val="00463E0E"/>
    <w:rsid w:val="00465945"/>
    <w:rsid w:val="00473CAE"/>
    <w:rsid w:val="00474D6F"/>
    <w:rsid w:val="00483624"/>
    <w:rsid w:val="00491B6E"/>
    <w:rsid w:val="00494EA2"/>
    <w:rsid w:val="004A04C5"/>
    <w:rsid w:val="004A1401"/>
    <w:rsid w:val="004A30C9"/>
    <w:rsid w:val="004A3FF6"/>
    <w:rsid w:val="004B3EDD"/>
    <w:rsid w:val="004B6B25"/>
    <w:rsid w:val="004D4398"/>
    <w:rsid w:val="004E26ED"/>
    <w:rsid w:val="004E6E6C"/>
    <w:rsid w:val="004F1966"/>
    <w:rsid w:val="004F4408"/>
    <w:rsid w:val="00507BE6"/>
    <w:rsid w:val="00516945"/>
    <w:rsid w:val="00526462"/>
    <w:rsid w:val="00531952"/>
    <w:rsid w:val="00533F41"/>
    <w:rsid w:val="00542D46"/>
    <w:rsid w:val="00543CFE"/>
    <w:rsid w:val="00544421"/>
    <w:rsid w:val="00546101"/>
    <w:rsid w:val="0054643D"/>
    <w:rsid w:val="00550A7E"/>
    <w:rsid w:val="005520FE"/>
    <w:rsid w:val="0055283C"/>
    <w:rsid w:val="00560540"/>
    <w:rsid w:val="00560C88"/>
    <w:rsid w:val="005930FA"/>
    <w:rsid w:val="00595707"/>
    <w:rsid w:val="0059667F"/>
    <w:rsid w:val="005C153C"/>
    <w:rsid w:val="005C3539"/>
    <w:rsid w:val="005D0E9D"/>
    <w:rsid w:val="005D3BA6"/>
    <w:rsid w:val="005D7F04"/>
    <w:rsid w:val="005F22B2"/>
    <w:rsid w:val="005F5DAA"/>
    <w:rsid w:val="005F5ED2"/>
    <w:rsid w:val="00607236"/>
    <w:rsid w:val="00611222"/>
    <w:rsid w:val="00614140"/>
    <w:rsid w:val="00622FDC"/>
    <w:rsid w:val="00630F12"/>
    <w:rsid w:val="00631AA9"/>
    <w:rsid w:val="00635DA8"/>
    <w:rsid w:val="00640A46"/>
    <w:rsid w:val="006419A0"/>
    <w:rsid w:val="00647DD2"/>
    <w:rsid w:val="00667649"/>
    <w:rsid w:val="00670859"/>
    <w:rsid w:val="006843B3"/>
    <w:rsid w:val="00687D5D"/>
    <w:rsid w:val="006953D7"/>
    <w:rsid w:val="006A349A"/>
    <w:rsid w:val="006A3990"/>
    <w:rsid w:val="006A6D1D"/>
    <w:rsid w:val="006A6E73"/>
    <w:rsid w:val="006C209B"/>
    <w:rsid w:val="006C2D74"/>
    <w:rsid w:val="006C31BF"/>
    <w:rsid w:val="006D5C8E"/>
    <w:rsid w:val="006E0E76"/>
    <w:rsid w:val="006E27B4"/>
    <w:rsid w:val="006F074B"/>
    <w:rsid w:val="00701404"/>
    <w:rsid w:val="0071472A"/>
    <w:rsid w:val="0071542C"/>
    <w:rsid w:val="007310D7"/>
    <w:rsid w:val="007329EB"/>
    <w:rsid w:val="00732AB6"/>
    <w:rsid w:val="0075332C"/>
    <w:rsid w:val="00756B42"/>
    <w:rsid w:val="00756BEA"/>
    <w:rsid w:val="00760D6E"/>
    <w:rsid w:val="00764A11"/>
    <w:rsid w:val="00773D09"/>
    <w:rsid w:val="007746FC"/>
    <w:rsid w:val="007752C8"/>
    <w:rsid w:val="0077667A"/>
    <w:rsid w:val="0078238D"/>
    <w:rsid w:val="00783512"/>
    <w:rsid w:val="00792A51"/>
    <w:rsid w:val="00796549"/>
    <w:rsid w:val="007A32EC"/>
    <w:rsid w:val="007B4D41"/>
    <w:rsid w:val="007C0FD2"/>
    <w:rsid w:val="007C621A"/>
    <w:rsid w:val="007D6E0D"/>
    <w:rsid w:val="007E65C9"/>
    <w:rsid w:val="007F4054"/>
    <w:rsid w:val="007F629F"/>
    <w:rsid w:val="00800C67"/>
    <w:rsid w:val="008054A2"/>
    <w:rsid w:val="008063E7"/>
    <w:rsid w:val="00807DB8"/>
    <w:rsid w:val="00812097"/>
    <w:rsid w:val="0081747D"/>
    <w:rsid w:val="0082254B"/>
    <w:rsid w:val="00823D13"/>
    <w:rsid w:val="00830FFF"/>
    <w:rsid w:val="008312C2"/>
    <w:rsid w:val="00853F80"/>
    <w:rsid w:val="00863B27"/>
    <w:rsid w:val="008658FC"/>
    <w:rsid w:val="00867F0D"/>
    <w:rsid w:val="00873E08"/>
    <w:rsid w:val="00876747"/>
    <w:rsid w:val="00885503"/>
    <w:rsid w:val="00885594"/>
    <w:rsid w:val="00890731"/>
    <w:rsid w:val="00896A14"/>
    <w:rsid w:val="008A2C99"/>
    <w:rsid w:val="008B4EAD"/>
    <w:rsid w:val="008C7AAF"/>
    <w:rsid w:val="008D42E8"/>
    <w:rsid w:val="008E6931"/>
    <w:rsid w:val="008F30B8"/>
    <w:rsid w:val="008F6102"/>
    <w:rsid w:val="009025A2"/>
    <w:rsid w:val="009034BD"/>
    <w:rsid w:val="0090411D"/>
    <w:rsid w:val="00904E9F"/>
    <w:rsid w:val="00910867"/>
    <w:rsid w:val="00923411"/>
    <w:rsid w:val="00924F93"/>
    <w:rsid w:val="0093490F"/>
    <w:rsid w:val="009408F7"/>
    <w:rsid w:val="0094162F"/>
    <w:rsid w:val="00950B24"/>
    <w:rsid w:val="009566AC"/>
    <w:rsid w:val="00960465"/>
    <w:rsid w:val="00965727"/>
    <w:rsid w:val="00976E99"/>
    <w:rsid w:val="00980240"/>
    <w:rsid w:val="009808C7"/>
    <w:rsid w:val="00981B6D"/>
    <w:rsid w:val="00993937"/>
    <w:rsid w:val="00996954"/>
    <w:rsid w:val="009A37ED"/>
    <w:rsid w:val="009A719F"/>
    <w:rsid w:val="009B082A"/>
    <w:rsid w:val="009B283F"/>
    <w:rsid w:val="009C6D76"/>
    <w:rsid w:val="009C71A7"/>
    <w:rsid w:val="009D3F1E"/>
    <w:rsid w:val="009D9B90"/>
    <w:rsid w:val="009F0282"/>
    <w:rsid w:val="009F2F01"/>
    <w:rsid w:val="009F4977"/>
    <w:rsid w:val="00A11695"/>
    <w:rsid w:val="00A30025"/>
    <w:rsid w:val="00A324F1"/>
    <w:rsid w:val="00A348B2"/>
    <w:rsid w:val="00A41142"/>
    <w:rsid w:val="00A5715A"/>
    <w:rsid w:val="00A60B6E"/>
    <w:rsid w:val="00A678AE"/>
    <w:rsid w:val="00A70ADF"/>
    <w:rsid w:val="00A71C53"/>
    <w:rsid w:val="00A76A01"/>
    <w:rsid w:val="00A85622"/>
    <w:rsid w:val="00AA3587"/>
    <w:rsid w:val="00AA7EFE"/>
    <w:rsid w:val="00AB1246"/>
    <w:rsid w:val="00AB34E7"/>
    <w:rsid w:val="00AC4A1E"/>
    <w:rsid w:val="00AC71CF"/>
    <w:rsid w:val="00AC7B52"/>
    <w:rsid w:val="00AE1A14"/>
    <w:rsid w:val="00AE1FF7"/>
    <w:rsid w:val="00AF4CDB"/>
    <w:rsid w:val="00AF5D09"/>
    <w:rsid w:val="00B030A3"/>
    <w:rsid w:val="00B10D41"/>
    <w:rsid w:val="00B2414C"/>
    <w:rsid w:val="00B30422"/>
    <w:rsid w:val="00B37D6B"/>
    <w:rsid w:val="00B4541D"/>
    <w:rsid w:val="00B525C9"/>
    <w:rsid w:val="00B635AF"/>
    <w:rsid w:val="00B67262"/>
    <w:rsid w:val="00B7494A"/>
    <w:rsid w:val="00B749D2"/>
    <w:rsid w:val="00B74A7E"/>
    <w:rsid w:val="00B95679"/>
    <w:rsid w:val="00B956DA"/>
    <w:rsid w:val="00BA0064"/>
    <w:rsid w:val="00BA521A"/>
    <w:rsid w:val="00BA6CEC"/>
    <w:rsid w:val="00BB17F9"/>
    <w:rsid w:val="00BB7F71"/>
    <w:rsid w:val="00BC12B4"/>
    <w:rsid w:val="00BC3D0D"/>
    <w:rsid w:val="00BD5C7B"/>
    <w:rsid w:val="00BF13EE"/>
    <w:rsid w:val="00BF3452"/>
    <w:rsid w:val="00BF4F50"/>
    <w:rsid w:val="00BF56B8"/>
    <w:rsid w:val="00BF6D63"/>
    <w:rsid w:val="00C04709"/>
    <w:rsid w:val="00C173D9"/>
    <w:rsid w:val="00C278E7"/>
    <w:rsid w:val="00C320B2"/>
    <w:rsid w:val="00C3527E"/>
    <w:rsid w:val="00C4068F"/>
    <w:rsid w:val="00C5220A"/>
    <w:rsid w:val="00C644BF"/>
    <w:rsid w:val="00C65CBD"/>
    <w:rsid w:val="00C707B8"/>
    <w:rsid w:val="00C73964"/>
    <w:rsid w:val="00C73F0A"/>
    <w:rsid w:val="00C7677B"/>
    <w:rsid w:val="00CB4537"/>
    <w:rsid w:val="00CB61FB"/>
    <w:rsid w:val="00CB65FC"/>
    <w:rsid w:val="00CC12E2"/>
    <w:rsid w:val="00CD221B"/>
    <w:rsid w:val="00CD64EF"/>
    <w:rsid w:val="00CE421A"/>
    <w:rsid w:val="00CF1F2A"/>
    <w:rsid w:val="00D01158"/>
    <w:rsid w:val="00D02B57"/>
    <w:rsid w:val="00D133E1"/>
    <w:rsid w:val="00D2079A"/>
    <w:rsid w:val="00D25194"/>
    <w:rsid w:val="00D42A70"/>
    <w:rsid w:val="00D45721"/>
    <w:rsid w:val="00D50599"/>
    <w:rsid w:val="00D538EC"/>
    <w:rsid w:val="00D54564"/>
    <w:rsid w:val="00D61019"/>
    <w:rsid w:val="00D61B62"/>
    <w:rsid w:val="00D65E95"/>
    <w:rsid w:val="00D6664F"/>
    <w:rsid w:val="00D96191"/>
    <w:rsid w:val="00DB00CA"/>
    <w:rsid w:val="00DC4CBC"/>
    <w:rsid w:val="00DC4D1C"/>
    <w:rsid w:val="00DD3230"/>
    <w:rsid w:val="00DD499D"/>
    <w:rsid w:val="00DD6BF8"/>
    <w:rsid w:val="00DD74FF"/>
    <w:rsid w:val="00DD7BE9"/>
    <w:rsid w:val="00DD7F75"/>
    <w:rsid w:val="00DE11A1"/>
    <w:rsid w:val="00DE3D37"/>
    <w:rsid w:val="00DE63B3"/>
    <w:rsid w:val="00DE6F08"/>
    <w:rsid w:val="00DF4BF2"/>
    <w:rsid w:val="00DF7220"/>
    <w:rsid w:val="00E00E90"/>
    <w:rsid w:val="00E12E79"/>
    <w:rsid w:val="00E23646"/>
    <w:rsid w:val="00E35D4C"/>
    <w:rsid w:val="00E369E7"/>
    <w:rsid w:val="00E37708"/>
    <w:rsid w:val="00E422B0"/>
    <w:rsid w:val="00E42480"/>
    <w:rsid w:val="00E4522C"/>
    <w:rsid w:val="00E5564D"/>
    <w:rsid w:val="00E5568B"/>
    <w:rsid w:val="00E70F2D"/>
    <w:rsid w:val="00E75B5A"/>
    <w:rsid w:val="00E856E3"/>
    <w:rsid w:val="00EA67B6"/>
    <w:rsid w:val="00EC0F4E"/>
    <w:rsid w:val="00EC1A91"/>
    <w:rsid w:val="00EC2B6E"/>
    <w:rsid w:val="00ED00D4"/>
    <w:rsid w:val="00ED032A"/>
    <w:rsid w:val="00ED3AD2"/>
    <w:rsid w:val="00ED5286"/>
    <w:rsid w:val="00EE0F6F"/>
    <w:rsid w:val="00EE1EDB"/>
    <w:rsid w:val="00EE44AF"/>
    <w:rsid w:val="00EF04E4"/>
    <w:rsid w:val="00F02DD9"/>
    <w:rsid w:val="00F0631E"/>
    <w:rsid w:val="00F076A9"/>
    <w:rsid w:val="00F14D6B"/>
    <w:rsid w:val="00F161B1"/>
    <w:rsid w:val="00F21482"/>
    <w:rsid w:val="00F27A91"/>
    <w:rsid w:val="00F312F2"/>
    <w:rsid w:val="00F328AF"/>
    <w:rsid w:val="00F366A4"/>
    <w:rsid w:val="00F45957"/>
    <w:rsid w:val="00F45F0D"/>
    <w:rsid w:val="00F471A4"/>
    <w:rsid w:val="00F535AB"/>
    <w:rsid w:val="00F545AA"/>
    <w:rsid w:val="00F55A74"/>
    <w:rsid w:val="00F63A28"/>
    <w:rsid w:val="00F6722F"/>
    <w:rsid w:val="00F876B7"/>
    <w:rsid w:val="00F93672"/>
    <w:rsid w:val="00F96D00"/>
    <w:rsid w:val="00FA3D89"/>
    <w:rsid w:val="00FA5923"/>
    <w:rsid w:val="00FB2D54"/>
    <w:rsid w:val="00FC2612"/>
    <w:rsid w:val="00FC5A2E"/>
    <w:rsid w:val="00FD0C6C"/>
    <w:rsid w:val="00FD4C79"/>
    <w:rsid w:val="013A3FED"/>
    <w:rsid w:val="015E58E1"/>
    <w:rsid w:val="018E3784"/>
    <w:rsid w:val="022D5235"/>
    <w:rsid w:val="02B245CC"/>
    <w:rsid w:val="03AC3188"/>
    <w:rsid w:val="03D9F554"/>
    <w:rsid w:val="04713F18"/>
    <w:rsid w:val="047C1D1E"/>
    <w:rsid w:val="04CBE35C"/>
    <w:rsid w:val="04DC8B86"/>
    <w:rsid w:val="052F923C"/>
    <w:rsid w:val="0555E32F"/>
    <w:rsid w:val="05B0FB2E"/>
    <w:rsid w:val="064ACDB5"/>
    <w:rsid w:val="0656726B"/>
    <w:rsid w:val="06F1B390"/>
    <w:rsid w:val="073A9499"/>
    <w:rsid w:val="0755A786"/>
    <w:rsid w:val="07CAF811"/>
    <w:rsid w:val="08DDDD01"/>
    <w:rsid w:val="093251E6"/>
    <w:rsid w:val="099CA3ED"/>
    <w:rsid w:val="09DFCBA8"/>
    <w:rsid w:val="0AA32DD4"/>
    <w:rsid w:val="0B5C5125"/>
    <w:rsid w:val="0B77566A"/>
    <w:rsid w:val="0BA7776F"/>
    <w:rsid w:val="0BB5116F"/>
    <w:rsid w:val="0D374DEB"/>
    <w:rsid w:val="0D3D7152"/>
    <w:rsid w:val="0DA9D402"/>
    <w:rsid w:val="0DBABCB2"/>
    <w:rsid w:val="0DC8C29E"/>
    <w:rsid w:val="0DECB76C"/>
    <w:rsid w:val="0E1A9B49"/>
    <w:rsid w:val="0E7BA59B"/>
    <w:rsid w:val="0ED67279"/>
    <w:rsid w:val="0F201004"/>
    <w:rsid w:val="1024AE45"/>
    <w:rsid w:val="109CD11D"/>
    <w:rsid w:val="111199E9"/>
    <w:rsid w:val="1113FC2F"/>
    <w:rsid w:val="11848A04"/>
    <w:rsid w:val="11D0C035"/>
    <w:rsid w:val="12C8C7D9"/>
    <w:rsid w:val="12FC8762"/>
    <w:rsid w:val="133BC198"/>
    <w:rsid w:val="1382A796"/>
    <w:rsid w:val="139DA213"/>
    <w:rsid w:val="150ACEDC"/>
    <w:rsid w:val="152EAD37"/>
    <w:rsid w:val="1536C36A"/>
    <w:rsid w:val="158F5188"/>
    <w:rsid w:val="15A1F85C"/>
    <w:rsid w:val="16F5FC3E"/>
    <w:rsid w:val="179C38FC"/>
    <w:rsid w:val="17E5AE67"/>
    <w:rsid w:val="1831C893"/>
    <w:rsid w:val="187A6C1A"/>
    <w:rsid w:val="18846835"/>
    <w:rsid w:val="18E96196"/>
    <w:rsid w:val="199AFF44"/>
    <w:rsid w:val="1A871FC9"/>
    <w:rsid w:val="1B7E06A8"/>
    <w:rsid w:val="1BA1B6D9"/>
    <w:rsid w:val="1C79A1F8"/>
    <w:rsid w:val="1D54DE36"/>
    <w:rsid w:val="1DC9D1FD"/>
    <w:rsid w:val="1E0C3F6E"/>
    <w:rsid w:val="1FAC0A96"/>
    <w:rsid w:val="1FAF93C4"/>
    <w:rsid w:val="1FB409B7"/>
    <w:rsid w:val="202506E6"/>
    <w:rsid w:val="20F12F8E"/>
    <w:rsid w:val="21864769"/>
    <w:rsid w:val="21954C2C"/>
    <w:rsid w:val="21D2353F"/>
    <w:rsid w:val="21E46C35"/>
    <w:rsid w:val="22214E60"/>
    <w:rsid w:val="2244A0EB"/>
    <w:rsid w:val="2273AC50"/>
    <w:rsid w:val="228A5AF1"/>
    <w:rsid w:val="22C25953"/>
    <w:rsid w:val="22EED2EF"/>
    <w:rsid w:val="232DC44D"/>
    <w:rsid w:val="249D7136"/>
    <w:rsid w:val="251FD4A3"/>
    <w:rsid w:val="257C41AD"/>
    <w:rsid w:val="25ACE926"/>
    <w:rsid w:val="267804DF"/>
    <w:rsid w:val="2683F1B6"/>
    <w:rsid w:val="27EE7963"/>
    <w:rsid w:val="29B06DBD"/>
    <w:rsid w:val="29B63985"/>
    <w:rsid w:val="29DA0CB8"/>
    <w:rsid w:val="2AB7AACA"/>
    <w:rsid w:val="2AFA9BB1"/>
    <w:rsid w:val="2B53810B"/>
    <w:rsid w:val="2BE113EB"/>
    <w:rsid w:val="2C0FEA1C"/>
    <w:rsid w:val="2C29105E"/>
    <w:rsid w:val="2C57DA85"/>
    <w:rsid w:val="2CEF516C"/>
    <w:rsid w:val="2DB7FB0B"/>
    <w:rsid w:val="2E1AE1CF"/>
    <w:rsid w:val="2F08E668"/>
    <w:rsid w:val="2FAB0F34"/>
    <w:rsid w:val="2FE77275"/>
    <w:rsid w:val="30046F40"/>
    <w:rsid w:val="3026F22E"/>
    <w:rsid w:val="310C2461"/>
    <w:rsid w:val="313230D7"/>
    <w:rsid w:val="321338DD"/>
    <w:rsid w:val="327A5FC8"/>
    <w:rsid w:val="32C6C8FD"/>
    <w:rsid w:val="3301B6BD"/>
    <w:rsid w:val="332D68F8"/>
    <w:rsid w:val="33309DE5"/>
    <w:rsid w:val="3367D9DF"/>
    <w:rsid w:val="3503AA40"/>
    <w:rsid w:val="351AFF82"/>
    <w:rsid w:val="354A11A5"/>
    <w:rsid w:val="358364EF"/>
    <w:rsid w:val="35D87247"/>
    <w:rsid w:val="36438D98"/>
    <w:rsid w:val="367AD6A9"/>
    <w:rsid w:val="36A9B200"/>
    <w:rsid w:val="36B104EF"/>
    <w:rsid w:val="372D1ED3"/>
    <w:rsid w:val="37A17976"/>
    <w:rsid w:val="37A76748"/>
    <w:rsid w:val="37E9090B"/>
    <w:rsid w:val="38162CF1"/>
    <w:rsid w:val="386172A3"/>
    <w:rsid w:val="395D87C3"/>
    <w:rsid w:val="39825283"/>
    <w:rsid w:val="39851F7E"/>
    <w:rsid w:val="3A210950"/>
    <w:rsid w:val="3A4DD8F2"/>
    <w:rsid w:val="3A55C2A6"/>
    <w:rsid w:val="3B6FF8CE"/>
    <w:rsid w:val="3BCE0FDD"/>
    <w:rsid w:val="3BF729BF"/>
    <w:rsid w:val="3C69D5E5"/>
    <w:rsid w:val="3D274867"/>
    <w:rsid w:val="3D34E3C6"/>
    <w:rsid w:val="3D68E9FA"/>
    <w:rsid w:val="3DD17F0C"/>
    <w:rsid w:val="3DEC3F60"/>
    <w:rsid w:val="3DF2132B"/>
    <w:rsid w:val="3E055267"/>
    <w:rsid w:val="3E4A21C8"/>
    <w:rsid w:val="3E8FF789"/>
    <w:rsid w:val="3EEA6111"/>
    <w:rsid w:val="3EF15D7F"/>
    <w:rsid w:val="3EF9344D"/>
    <w:rsid w:val="3F4A23F0"/>
    <w:rsid w:val="3F84CA71"/>
    <w:rsid w:val="410DAD1D"/>
    <w:rsid w:val="413D4708"/>
    <w:rsid w:val="41534837"/>
    <w:rsid w:val="41944DAF"/>
    <w:rsid w:val="426A94F3"/>
    <w:rsid w:val="426E0136"/>
    <w:rsid w:val="42FD9A94"/>
    <w:rsid w:val="4370F8F2"/>
    <w:rsid w:val="44A79B10"/>
    <w:rsid w:val="45074C56"/>
    <w:rsid w:val="45AB1134"/>
    <w:rsid w:val="45D5DC98"/>
    <w:rsid w:val="46088FB9"/>
    <w:rsid w:val="46D66346"/>
    <w:rsid w:val="4703F356"/>
    <w:rsid w:val="47078059"/>
    <w:rsid w:val="4779F949"/>
    <w:rsid w:val="47A622E5"/>
    <w:rsid w:val="47F80925"/>
    <w:rsid w:val="48038F33"/>
    <w:rsid w:val="481962C8"/>
    <w:rsid w:val="486C2445"/>
    <w:rsid w:val="486EADC3"/>
    <w:rsid w:val="48A260B7"/>
    <w:rsid w:val="48AF489F"/>
    <w:rsid w:val="48E6D3EA"/>
    <w:rsid w:val="48EEC772"/>
    <w:rsid w:val="48F8888B"/>
    <w:rsid w:val="490417FB"/>
    <w:rsid w:val="4A5FE698"/>
    <w:rsid w:val="4A84FF46"/>
    <w:rsid w:val="4AF044B9"/>
    <w:rsid w:val="4B2FA9E7"/>
    <w:rsid w:val="4BB04979"/>
    <w:rsid w:val="4BE17FEB"/>
    <w:rsid w:val="4C270562"/>
    <w:rsid w:val="4D5C80DD"/>
    <w:rsid w:val="4DABEB35"/>
    <w:rsid w:val="4E2364D5"/>
    <w:rsid w:val="4EC99376"/>
    <w:rsid w:val="4ECA535F"/>
    <w:rsid w:val="4EF5DCDE"/>
    <w:rsid w:val="4EFC419A"/>
    <w:rsid w:val="4F2988A1"/>
    <w:rsid w:val="4FC6EC04"/>
    <w:rsid w:val="502C5169"/>
    <w:rsid w:val="51008EEF"/>
    <w:rsid w:val="51A2AE48"/>
    <w:rsid w:val="51F9DE2E"/>
    <w:rsid w:val="52472DC5"/>
    <w:rsid w:val="52E3A19B"/>
    <w:rsid w:val="546B7D90"/>
    <w:rsid w:val="54B809CD"/>
    <w:rsid w:val="5507C95F"/>
    <w:rsid w:val="55657454"/>
    <w:rsid w:val="55BF5EA4"/>
    <w:rsid w:val="5615A11E"/>
    <w:rsid w:val="565BD999"/>
    <w:rsid w:val="56C62C14"/>
    <w:rsid w:val="56EBC70B"/>
    <w:rsid w:val="5751CC94"/>
    <w:rsid w:val="57B5F677"/>
    <w:rsid w:val="57CA99DC"/>
    <w:rsid w:val="57E7DBCD"/>
    <w:rsid w:val="58381B88"/>
    <w:rsid w:val="584CFEDB"/>
    <w:rsid w:val="58531946"/>
    <w:rsid w:val="589D46EC"/>
    <w:rsid w:val="58BC4DAA"/>
    <w:rsid w:val="58BDF77C"/>
    <w:rsid w:val="5901540A"/>
    <w:rsid w:val="59475287"/>
    <w:rsid w:val="59FB5659"/>
    <w:rsid w:val="5A795F30"/>
    <w:rsid w:val="5B1464E1"/>
    <w:rsid w:val="5B6C131A"/>
    <w:rsid w:val="5B8C9F18"/>
    <w:rsid w:val="5B9D0944"/>
    <w:rsid w:val="5BE711F1"/>
    <w:rsid w:val="5C3405A6"/>
    <w:rsid w:val="5D24BB84"/>
    <w:rsid w:val="5DDECA1B"/>
    <w:rsid w:val="5DF72091"/>
    <w:rsid w:val="5E69865A"/>
    <w:rsid w:val="5FDFA858"/>
    <w:rsid w:val="5FEAD127"/>
    <w:rsid w:val="605C5C46"/>
    <w:rsid w:val="60A858D1"/>
    <w:rsid w:val="60AD39B4"/>
    <w:rsid w:val="62410204"/>
    <w:rsid w:val="632E2637"/>
    <w:rsid w:val="633FA4BF"/>
    <w:rsid w:val="6360D45B"/>
    <w:rsid w:val="63633EC5"/>
    <w:rsid w:val="63C8F279"/>
    <w:rsid w:val="63F2962B"/>
    <w:rsid w:val="6413CDEE"/>
    <w:rsid w:val="648F3ACF"/>
    <w:rsid w:val="64E21975"/>
    <w:rsid w:val="65168F68"/>
    <w:rsid w:val="663DE7A5"/>
    <w:rsid w:val="6647EA1F"/>
    <w:rsid w:val="676EA0FC"/>
    <w:rsid w:val="67EA95BC"/>
    <w:rsid w:val="683098BD"/>
    <w:rsid w:val="684157E1"/>
    <w:rsid w:val="69707FA4"/>
    <w:rsid w:val="69A7BEA6"/>
    <w:rsid w:val="69D9E0EF"/>
    <w:rsid w:val="6A1BDE26"/>
    <w:rsid w:val="6A7918C8"/>
    <w:rsid w:val="6B7117DA"/>
    <w:rsid w:val="6BF2F8FE"/>
    <w:rsid w:val="6C363935"/>
    <w:rsid w:val="6CBE06DF"/>
    <w:rsid w:val="6D2D0D2B"/>
    <w:rsid w:val="6D537EE8"/>
    <w:rsid w:val="6D723C6B"/>
    <w:rsid w:val="6DD1B1E5"/>
    <w:rsid w:val="6DFFF3EF"/>
    <w:rsid w:val="6E745247"/>
    <w:rsid w:val="6FF48C63"/>
    <w:rsid w:val="701E5CB3"/>
    <w:rsid w:val="706D75D4"/>
    <w:rsid w:val="70D7A2DD"/>
    <w:rsid w:val="712270DE"/>
    <w:rsid w:val="713DA53C"/>
    <w:rsid w:val="715C6189"/>
    <w:rsid w:val="7160949C"/>
    <w:rsid w:val="724A908C"/>
    <w:rsid w:val="72672E36"/>
    <w:rsid w:val="72F3F708"/>
    <w:rsid w:val="732F05D9"/>
    <w:rsid w:val="73B6DE69"/>
    <w:rsid w:val="74056739"/>
    <w:rsid w:val="749C00B7"/>
    <w:rsid w:val="74BAE4E6"/>
    <w:rsid w:val="7596B416"/>
    <w:rsid w:val="75C30B63"/>
    <w:rsid w:val="75F2F4B4"/>
    <w:rsid w:val="76BE7F82"/>
    <w:rsid w:val="76C978B0"/>
    <w:rsid w:val="76ECE95D"/>
    <w:rsid w:val="77338DA9"/>
    <w:rsid w:val="7747D5E8"/>
    <w:rsid w:val="77604B47"/>
    <w:rsid w:val="780804EF"/>
    <w:rsid w:val="78549C6C"/>
    <w:rsid w:val="78925B7F"/>
    <w:rsid w:val="79DB4721"/>
    <w:rsid w:val="7A6B7FA4"/>
    <w:rsid w:val="7A6D4C67"/>
    <w:rsid w:val="7A7684D7"/>
    <w:rsid w:val="7A976441"/>
    <w:rsid w:val="7AC4530E"/>
    <w:rsid w:val="7B8B0750"/>
    <w:rsid w:val="7C2010AE"/>
    <w:rsid w:val="7C46FB12"/>
    <w:rsid w:val="7D4B67DE"/>
    <w:rsid w:val="7E6208DE"/>
    <w:rsid w:val="7E7EA846"/>
    <w:rsid w:val="7ECF9403"/>
    <w:rsid w:val="7F27952D"/>
    <w:rsid w:val="7F7315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endarrow="block"/>
      <o:colormru v:ext="edit" colors="#87b07c,#eaeaea"/>
    </o:shapedefaults>
    <o:shapelayout v:ext="edit">
      <o:idmap v:ext="edit" data="1"/>
    </o:shapelayout>
  </w:shapeDefaults>
  <w:decimalSymbol w:val="."/>
  <w:listSeparator w:val=","/>
  <w14:docId w14:val="3409758D"/>
  <w15:docId w15:val="{1FB3C84D-53F0-478A-8341-326810FE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774C"/>
    <w:rPr>
      <w:rFonts w:ascii="Arial" w:hAnsi="Arial"/>
      <w:sz w:val="22"/>
      <w:lang w:eastAsia="en-US"/>
    </w:rPr>
  </w:style>
  <w:style w:type="paragraph" w:styleId="Heading1">
    <w:name w:val="heading 1"/>
    <w:basedOn w:val="Normal"/>
    <w:next w:val="Normal"/>
    <w:link w:val="Heading1Char"/>
    <w:qFormat/>
    <w:rsid w:val="000A774C"/>
    <w:pPr>
      <w:keepNext/>
      <w:outlineLvl w:val="0"/>
    </w:pPr>
    <w:rPr>
      <w:rFonts w:ascii="Cambria" w:hAnsi="Cambria"/>
      <w:b/>
      <w:sz w:val="36"/>
      <w:lang w:val="en-US"/>
    </w:rPr>
  </w:style>
  <w:style w:type="paragraph" w:styleId="Heading2">
    <w:name w:val="heading 2"/>
    <w:basedOn w:val="Normal"/>
    <w:next w:val="Normal"/>
    <w:link w:val="Heading2Char"/>
    <w:qFormat/>
    <w:rsid w:val="000A774C"/>
    <w:pPr>
      <w:keepNext/>
      <w:outlineLvl w:val="1"/>
    </w:pPr>
    <w:rPr>
      <w:rFonts w:ascii="Cambria" w:hAnsi="Cambria"/>
      <w:b/>
      <w:sz w:val="28"/>
    </w:rPr>
  </w:style>
  <w:style w:type="paragraph" w:styleId="Heading3">
    <w:name w:val="heading 3"/>
    <w:basedOn w:val="Normal"/>
    <w:next w:val="Normal"/>
    <w:link w:val="Heading3Char"/>
    <w:qFormat/>
    <w:rsid w:val="000A774C"/>
    <w:pPr>
      <w:keepNext/>
      <w:outlineLvl w:val="2"/>
    </w:pPr>
    <w:rPr>
      <w:rFonts w:ascii="Cambria" w:hAnsi="Cambria"/>
      <w:b/>
    </w:rPr>
  </w:style>
  <w:style w:type="paragraph" w:styleId="Heading4">
    <w:name w:val="heading 4"/>
    <w:basedOn w:val="Normal"/>
    <w:next w:val="Normal"/>
    <w:link w:val="Heading4Char"/>
    <w:qFormat/>
    <w:rsid w:val="000A774C"/>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774C"/>
    <w:rPr>
      <w:rFonts w:ascii="Cambria" w:hAnsi="Cambria"/>
      <w:b/>
      <w:sz w:val="28"/>
      <w:lang w:eastAsia="en-US"/>
    </w:rPr>
  </w:style>
  <w:style w:type="paragraph" w:styleId="TOC2">
    <w:name w:val="toc 2"/>
    <w:basedOn w:val="Normal"/>
    <w:next w:val="Normal"/>
    <w:autoRedefine/>
    <w:uiPriority w:val="39"/>
    <w:rsid w:val="000A774C"/>
    <w:pPr>
      <w:ind w:left="200"/>
    </w:pPr>
  </w:style>
  <w:style w:type="paragraph" w:styleId="TOC1">
    <w:name w:val="toc 1"/>
    <w:basedOn w:val="Normal"/>
    <w:next w:val="Normal"/>
    <w:autoRedefine/>
    <w:uiPriority w:val="39"/>
    <w:rsid w:val="000A774C"/>
    <w:pPr>
      <w:tabs>
        <w:tab w:val="right" w:leader="dot" w:pos="9962"/>
      </w:tabs>
      <w:spacing w:before="120" w:after="120"/>
      <w:ind w:left="360" w:hanging="360"/>
    </w:pPr>
  </w:style>
  <w:style w:type="paragraph" w:styleId="TOC3">
    <w:name w:val="toc 3"/>
    <w:basedOn w:val="Normal"/>
    <w:next w:val="Normal"/>
    <w:autoRedefine/>
    <w:uiPriority w:val="39"/>
    <w:rsid w:val="000A774C"/>
    <w:pPr>
      <w:ind w:left="400"/>
    </w:pPr>
  </w:style>
  <w:style w:type="paragraph" w:styleId="TOC4">
    <w:name w:val="toc 4"/>
    <w:basedOn w:val="Normal"/>
    <w:next w:val="Normal"/>
    <w:autoRedefine/>
    <w:semiHidden/>
    <w:rsid w:val="000A774C"/>
    <w:pPr>
      <w:ind w:left="600"/>
    </w:pPr>
  </w:style>
  <w:style w:type="paragraph" w:styleId="TOC5">
    <w:name w:val="toc 5"/>
    <w:basedOn w:val="Normal"/>
    <w:next w:val="Normal"/>
    <w:autoRedefine/>
    <w:semiHidden/>
    <w:rsid w:val="000A774C"/>
    <w:pPr>
      <w:ind w:left="800"/>
    </w:pPr>
  </w:style>
  <w:style w:type="paragraph" w:styleId="TOC6">
    <w:name w:val="toc 6"/>
    <w:basedOn w:val="Normal"/>
    <w:next w:val="Normal"/>
    <w:autoRedefine/>
    <w:semiHidden/>
    <w:rsid w:val="000A774C"/>
    <w:pPr>
      <w:ind w:left="1000"/>
    </w:pPr>
  </w:style>
  <w:style w:type="paragraph" w:styleId="TOC7">
    <w:name w:val="toc 7"/>
    <w:basedOn w:val="Normal"/>
    <w:next w:val="Normal"/>
    <w:autoRedefine/>
    <w:semiHidden/>
    <w:rsid w:val="000A774C"/>
    <w:pPr>
      <w:ind w:left="1200"/>
    </w:pPr>
  </w:style>
  <w:style w:type="paragraph" w:styleId="TOC8">
    <w:name w:val="toc 8"/>
    <w:basedOn w:val="Normal"/>
    <w:next w:val="Normal"/>
    <w:autoRedefine/>
    <w:semiHidden/>
    <w:rsid w:val="000A774C"/>
    <w:pPr>
      <w:ind w:left="1400"/>
    </w:pPr>
  </w:style>
  <w:style w:type="paragraph" w:styleId="TOC9">
    <w:name w:val="toc 9"/>
    <w:basedOn w:val="Normal"/>
    <w:next w:val="Normal"/>
    <w:autoRedefine/>
    <w:semiHidden/>
    <w:rsid w:val="000A774C"/>
    <w:pPr>
      <w:ind w:left="1600"/>
    </w:pPr>
  </w:style>
  <w:style w:type="paragraph" w:customStyle="1" w:styleId="Normal-BoldItalic">
    <w:name w:val="Normal - Bold + Italic"/>
    <w:basedOn w:val="Normal-Bold"/>
    <w:link w:val="Normal-BoldItalicCharChar"/>
    <w:uiPriority w:val="99"/>
    <w:rsid w:val="000A774C"/>
    <w:rPr>
      <w:bCs/>
      <w:i/>
      <w:iCs/>
    </w:rPr>
  </w:style>
  <w:style w:type="paragraph" w:customStyle="1" w:styleId="Normal-Bold">
    <w:name w:val="Normal - Bold"/>
    <w:basedOn w:val="Normal"/>
    <w:link w:val="Normal-BoldChar"/>
    <w:uiPriority w:val="99"/>
    <w:rsid w:val="000A774C"/>
    <w:rPr>
      <w:b/>
      <w:szCs w:val="24"/>
      <w:lang w:val="en-US"/>
    </w:rPr>
  </w:style>
  <w:style w:type="character" w:customStyle="1" w:styleId="Normal-BoldChar">
    <w:name w:val="Normal - Bold Char"/>
    <w:basedOn w:val="DefaultParagraphFont"/>
    <w:link w:val="Normal-Bold"/>
    <w:uiPriority w:val="99"/>
    <w:rsid w:val="000A774C"/>
    <w:rPr>
      <w:rFonts w:ascii="Arial" w:hAnsi="Arial"/>
      <w:b/>
      <w:sz w:val="22"/>
      <w:szCs w:val="24"/>
      <w:lang w:val="en-US" w:eastAsia="en-US"/>
    </w:rPr>
  </w:style>
  <w:style w:type="character" w:customStyle="1" w:styleId="Normal-BoldItalicCharChar">
    <w:name w:val="Normal - Bold + Italic Char Char"/>
    <w:basedOn w:val="Normal-BoldChar"/>
    <w:link w:val="Normal-BoldItalic"/>
    <w:uiPriority w:val="99"/>
    <w:rsid w:val="000A774C"/>
    <w:rPr>
      <w:rFonts w:ascii="Arial" w:hAnsi="Arial"/>
      <w:b/>
      <w:bCs/>
      <w:i/>
      <w:iCs/>
      <w:sz w:val="22"/>
      <w:szCs w:val="24"/>
      <w:lang w:val="en-US" w:eastAsia="en-US"/>
    </w:rPr>
  </w:style>
  <w:style w:type="paragraph" w:customStyle="1" w:styleId="acs">
    <w:name w:val="acs"/>
    <w:basedOn w:val="Normal"/>
    <w:link w:val="acsChar"/>
    <w:rsid w:val="000A774C"/>
    <w:pPr>
      <w:numPr>
        <w:numId w:val="3"/>
      </w:numPr>
    </w:pPr>
  </w:style>
  <w:style w:type="character" w:styleId="Hyperlink">
    <w:name w:val="Hyperlink"/>
    <w:uiPriority w:val="99"/>
    <w:rsid w:val="000A774C"/>
    <w:rPr>
      <w:color w:val="0000FF"/>
      <w:u w:val="single"/>
    </w:rPr>
  </w:style>
  <w:style w:type="paragraph" w:customStyle="1" w:styleId="acs2">
    <w:name w:val="acs2"/>
    <w:basedOn w:val="acs"/>
    <w:rsid w:val="000A774C"/>
    <w:pPr>
      <w:numPr>
        <w:numId w:val="5"/>
      </w:numPr>
    </w:pPr>
  </w:style>
  <w:style w:type="paragraph" w:styleId="Header">
    <w:name w:val="header"/>
    <w:basedOn w:val="Normal"/>
    <w:link w:val="HeaderChar"/>
    <w:rsid w:val="000A774C"/>
    <w:pPr>
      <w:tabs>
        <w:tab w:val="center" w:pos="4153"/>
        <w:tab w:val="right" w:pos="8306"/>
      </w:tabs>
    </w:pPr>
  </w:style>
  <w:style w:type="paragraph" w:styleId="Footer">
    <w:name w:val="footer"/>
    <w:basedOn w:val="Normal"/>
    <w:link w:val="FooterChar"/>
    <w:rsid w:val="000A774C"/>
    <w:pPr>
      <w:tabs>
        <w:tab w:val="center" w:pos="4153"/>
        <w:tab w:val="right" w:pos="8306"/>
      </w:tabs>
    </w:pPr>
  </w:style>
  <w:style w:type="paragraph" w:customStyle="1" w:styleId="Style1">
    <w:name w:val="Style1"/>
    <w:basedOn w:val="Normal"/>
    <w:uiPriority w:val="99"/>
    <w:rsid w:val="000A774C"/>
    <w:pPr>
      <w:numPr>
        <w:numId w:val="7"/>
      </w:numPr>
    </w:pPr>
  </w:style>
  <w:style w:type="paragraph" w:styleId="ListBullet">
    <w:name w:val="List Bullet"/>
    <w:basedOn w:val="Normal"/>
    <w:uiPriority w:val="99"/>
    <w:rsid w:val="000A774C"/>
    <w:pPr>
      <w:tabs>
        <w:tab w:val="num" w:pos="360"/>
      </w:tabs>
      <w:ind w:left="360" w:hanging="360"/>
    </w:pPr>
  </w:style>
  <w:style w:type="paragraph" w:customStyle="1" w:styleId="heading40">
    <w:name w:val="heading4"/>
    <w:basedOn w:val="Normal"/>
    <w:link w:val="heading4Char0"/>
    <w:rsid w:val="004A3FF6"/>
    <w:rPr>
      <w:rFonts w:ascii="Arial Rounded MT Bold" w:hAnsi="Arial Rounded MT Bold"/>
      <w:lang w:val="en-US"/>
    </w:rPr>
  </w:style>
  <w:style w:type="paragraph" w:customStyle="1" w:styleId="bulletsACS">
    <w:name w:val="bullets ACS"/>
    <w:basedOn w:val="Normal"/>
    <w:link w:val="bulletsACSChar"/>
    <w:uiPriority w:val="99"/>
    <w:rsid w:val="000A774C"/>
    <w:pPr>
      <w:numPr>
        <w:numId w:val="6"/>
      </w:numPr>
      <w:tabs>
        <w:tab w:val="left" w:pos="1080"/>
      </w:tabs>
      <w:spacing w:after="60"/>
    </w:pPr>
    <w:rPr>
      <w:szCs w:val="24"/>
    </w:rPr>
  </w:style>
  <w:style w:type="character" w:customStyle="1" w:styleId="bulletsACSChar">
    <w:name w:val="bullets ACS Char"/>
    <w:basedOn w:val="DefaultParagraphFont"/>
    <w:link w:val="bulletsACS"/>
    <w:uiPriority w:val="99"/>
    <w:rsid w:val="000A774C"/>
    <w:rPr>
      <w:rFonts w:ascii="Arial" w:hAnsi="Arial"/>
      <w:sz w:val="22"/>
      <w:szCs w:val="24"/>
      <w:lang w:eastAsia="en-US"/>
    </w:rPr>
  </w:style>
  <w:style w:type="character" w:customStyle="1" w:styleId="acsChar">
    <w:name w:val="acs Char"/>
    <w:link w:val="acs"/>
    <w:rsid w:val="000A774C"/>
    <w:rPr>
      <w:rFonts w:ascii="Arial" w:hAnsi="Arial"/>
      <w:sz w:val="22"/>
      <w:lang w:eastAsia="en-US"/>
    </w:rPr>
  </w:style>
  <w:style w:type="character" w:customStyle="1" w:styleId="heading4Char0">
    <w:name w:val="heading4 Char"/>
    <w:basedOn w:val="DefaultParagraphFont"/>
    <w:link w:val="heading40"/>
    <w:rsid w:val="004A3FF6"/>
    <w:rPr>
      <w:rFonts w:ascii="Arial Rounded MT Bold" w:hAnsi="Arial Rounded MT Bold"/>
      <w:sz w:val="22"/>
      <w:lang w:val="en-US" w:eastAsia="en-US" w:bidi="ar-SA"/>
    </w:rPr>
  </w:style>
  <w:style w:type="paragraph" w:styleId="BalloonText">
    <w:name w:val="Balloon Text"/>
    <w:basedOn w:val="Normal"/>
    <w:link w:val="BalloonTextChar"/>
    <w:rsid w:val="000A774C"/>
    <w:rPr>
      <w:rFonts w:ascii="Tahoma" w:hAnsi="Tahoma" w:cs="Tahoma"/>
      <w:sz w:val="16"/>
      <w:szCs w:val="16"/>
    </w:rPr>
  </w:style>
  <w:style w:type="character" w:customStyle="1" w:styleId="BalloonTextChar">
    <w:name w:val="Balloon Text Char"/>
    <w:link w:val="BalloonText"/>
    <w:rsid w:val="000A774C"/>
    <w:rPr>
      <w:rFonts w:ascii="Tahoma" w:hAnsi="Tahoma" w:cs="Tahoma"/>
      <w:sz w:val="16"/>
      <w:szCs w:val="16"/>
      <w:lang w:eastAsia="en-US"/>
    </w:rPr>
  </w:style>
  <w:style w:type="paragraph" w:customStyle="1" w:styleId="ACs2level">
    <w:name w:val="ACs 2 level"/>
    <w:basedOn w:val="Normal"/>
    <w:uiPriority w:val="99"/>
    <w:rsid w:val="000A774C"/>
    <w:pPr>
      <w:numPr>
        <w:numId w:val="4"/>
      </w:numPr>
      <w:tabs>
        <w:tab w:val="left" w:pos="1440"/>
      </w:tabs>
      <w:spacing w:after="60"/>
    </w:pPr>
    <w:rPr>
      <w:szCs w:val="24"/>
    </w:rPr>
  </w:style>
  <w:style w:type="paragraph" w:customStyle="1" w:styleId="AmendmentBulletOddPage">
    <w:name w:val="Amendment Bullet (Odd Page)"/>
    <w:basedOn w:val="Normal"/>
    <w:rsid w:val="000A774C"/>
    <w:pPr>
      <w:tabs>
        <w:tab w:val="num" w:pos="1724"/>
      </w:tabs>
      <w:spacing w:after="60"/>
      <w:ind w:left="1724" w:hanging="284"/>
    </w:pPr>
    <w:rPr>
      <w:szCs w:val="24"/>
    </w:rPr>
  </w:style>
  <w:style w:type="character" w:styleId="Emphasis">
    <w:name w:val="Emphasis"/>
    <w:qFormat/>
    <w:rsid w:val="000A774C"/>
    <w:rPr>
      <w:i/>
      <w:iCs/>
    </w:rPr>
  </w:style>
  <w:style w:type="character" w:customStyle="1" w:styleId="FooterChar">
    <w:name w:val="Footer Char"/>
    <w:basedOn w:val="DefaultParagraphFont"/>
    <w:link w:val="Footer"/>
    <w:rsid w:val="000A774C"/>
    <w:rPr>
      <w:rFonts w:ascii="Arial" w:hAnsi="Arial"/>
      <w:sz w:val="22"/>
      <w:lang w:eastAsia="en-US"/>
    </w:rPr>
  </w:style>
  <w:style w:type="character" w:customStyle="1" w:styleId="HeaderChar">
    <w:name w:val="Header Char"/>
    <w:basedOn w:val="DefaultParagraphFont"/>
    <w:link w:val="Header"/>
    <w:rsid w:val="000A774C"/>
    <w:rPr>
      <w:rFonts w:ascii="Arial" w:hAnsi="Arial"/>
      <w:sz w:val="22"/>
      <w:lang w:eastAsia="en-US"/>
    </w:rPr>
  </w:style>
  <w:style w:type="character" w:customStyle="1" w:styleId="Heading1Char">
    <w:name w:val="Heading 1 Char"/>
    <w:link w:val="Heading1"/>
    <w:rsid w:val="000A774C"/>
    <w:rPr>
      <w:rFonts w:ascii="Cambria" w:hAnsi="Cambria"/>
      <w:b/>
      <w:sz w:val="36"/>
      <w:lang w:val="en-US" w:eastAsia="en-US"/>
    </w:rPr>
  </w:style>
  <w:style w:type="character" w:customStyle="1" w:styleId="Heading3Char">
    <w:name w:val="Heading 3 Char"/>
    <w:basedOn w:val="DefaultParagraphFont"/>
    <w:link w:val="Heading3"/>
    <w:locked/>
    <w:rsid w:val="000A774C"/>
    <w:rPr>
      <w:rFonts w:ascii="Cambria" w:hAnsi="Cambria"/>
      <w:b/>
      <w:sz w:val="22"/>
      <w:lang w:eastAsia="en-US"/>
    </w:rPr>
  </w:style>
  <w:style w:type="character" w:customStyle="1" w:styleId="Heading4Char">
    <w:name w:val="Heading 4 Char"/>
    <w:basedOn w:val="DefaultParagraphFont"/>
    <w:link w:val="Heading4"/>
    <w:rsid w:val="000A774C"/>
    <w:rPr>
      <w:rFonts w:ascii="Arial" w:hAnsi="Arial"/>
      <w:b/>
      <w:bCs/>
      <w:sz w:val="16"/>
      <w:szCs w:val="28"/>
      <w:lang w:eastAsia="en-US"/>
    </w:rPr>
  </w:style>
  <w:style w:type="paragraph" w:styleId="ListParagraph">
    <w:name w:val="List Paragraph"/>
    <w:basedOn w:val="Normal"/>
    <w:uiPriority w:val="99"/>
    <w:qFormat/>
    <w:rsid w:val="000A774C"/>
    <w:pPr>
      <w:ind w:left="720"/>
      <w:contextualSpacing/>
    </w:pPr>
  </w:style>
  <w:style w:type="character" w:styleId="PageNumber">
    <w:name w:val="page number"/>
    <w:rsid w:val="000A774C"/>
  </w:style>
  <w:style w:type="paragraph" w:styleId="PlainText">
    <w:name w:val="Plain Text"/>
    <w:basedOn w:val="Normal"/>
    <w:link w:val="PlainTextChar"/>
    <w:rsid w:val="000A774C"/>
    <w:rPr>
      <w:rFonts w:ascii="Courier New" w:hAnsi="Courier New" w:cs="Courier New"/>
    </w:rPr>
  </w:style>
  <w:style w:type="character" w:customStyle="1" w:styleId="PlainTextChar">
    <w:name w:val="Plain Text Char"/>
    <w:basedOn w:val="DefaultParagraphFont"/>
    <w:link w:val="PlainText"/>
    <w:rsid w:val="000A774C"/>
    <w:rPr>
      <w:rFonts w:ascii="Courier New" w:hAnsi="Courier New" w:cs="Courier New"/>
      <w:sz w:val="22"/>
      <w:lang w:eastAsia="en-US"/>
    </w:rPr>
  </w:style>
  <w:style w:type="paragraph" w:customStyle="1" w:styleId="StyleacsBold">
    <w:name w:val="Style acs + Bold"/>
    <w:basedOn w:val="acs"/>
    <w:link w:val="StyleacsBoldChar"/>
    <w:uiPriority w:val="99"/>
    <w:rsid w:val="000A774C"/>
    <w:pPr>
      <w:numPr>
        <w:numId w:val="0"/>
      </w:numPr>
      <w:tabs>
        <w:tab w:val="num" w:pos="1800"/>
      </w:tabs>
      <w:ind w:left="720" w:hanging="360"/>
    </w:pPr>
    <w:rPr>
      <w:b/>
      <w:bCs/>
      <w:sz w:val="24"/>
    </w:rPr>
  </w:style>
  <w:style w:type="character" w:customStyle="1" w:styleId="StyleacsBoldChar">
    <w:name w:val="Style acs + Bold Char"/>
    <w:link w:val="StyleacsBold"/>
    <w:uiPriority w:val="99"/>
    <w:locked/>
    <w:rsid w:val="000A774C"/>
    <w:rPr>
      <w:rFonts w:ascii="Arial" w:hAnsi="Arial"/>
      <w:b/>
      <w:bCs/>
      <w:sz w:val="24"/>
      <w:lang w:eastAsia="en-US"/>
    </w:rPr>
  </w:style>
  <w:style w:type="paragraph" w:customStyle="1" w:styleId="StyleacsCenteredLeft0cmFirstline0cm">
    <w:name w:val="Style acs + Centered Left:  0 cm First line:  0 cm"/>
    <w:basedOn w:val="acs"/>
    <w:autoRedefine/>
    <w:uiPriority w:val="99"/>
    <w:rsid w:val="000A774C"/>
    <w:pPr>
      <w:numPr>
        <w:numId w:val="0"/>
      </w:numPr>
      <w:jc w:val="center"/>
    </w:pPr>
    <w:rPr>
      <w:b/>
      <w:color w:val="FF0000"/>
      <w:sz w:val="36"/>
      <w:szCs w:val="36"/>
    </w:rPr>
  </w:style>
  <w:style w:type="paragraph" w:customStyle="1" w:styleId="StyleHeading2Left0cmHanging076cmBefore12ptA">
    <w:name w:val="Style Heading 2 + Left:  0 cm Hanging:  0.76 cm Before:  12 pt A..."/>
    <w:basedOn w:val="Heading2"/>
    <w:rsid w:val="000A774C"/>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0A774C"/>
    <w:pPr>
      <w:spacing w:before="240" w:after="60"/>
    </w:pPr>
    <w:rPr>
      <w:rFonts w:asciiTheme="majorHAnsi" w:hAnsiTheme="majorHAnsi"/>
      <w:sz w:val="24"/>
    </w:rPr>
  </w:style>
  <w:style w:type="table" w:styleId="TableGrid">
    <w:name w:val="Table Grid"/>
    <w:basedOn w:val="TableNormal"/>
    <w:rsid w:val="000A7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A774C"/>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0A774C"/>
    <w:rPr>
      <w:rFonts w:ascii="Cambria" w:hAnsi="Cambria"/>
      <w:color w:val="17365D"/>
      <w:spacing w:val="5"/>
      <w:kern w:val="28"/>
      <w:sz w:val="48"/>
      <w:szCs w:val="52"/>
      <w:lang w:eastAsia="en-US"/>
    </w:rPr>
  </w:style>
  <w:style w:type="paragraph" w:styleId="TOCHeading">
    <w:name w:val="TOC Heading"/>
    <w:basedOn w:val="Heading1"/>
    <w:next w:val="Normal"/>
    <w:uiPriority w:val="39"/>
    <w:semiHidden/>
    <w:unhideWhenUsed/>
    <w:qFormat/>
    <w:rsid w:val="000A774C"/>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paragraph" w:customStyle="1" w:styleId="acs1">
    <w:name w:val="acs1"/>
    <w:basedOn w:val="Normal"/>
    <w:rsid w:val="00560540"/>
    <w:pPr>
      <w:numPr>
        <w:numId w:val="9"/>
      </w:numPr>
      <w:tabs>
        <w:tab w:val="left" w:pos="360"/>
      </w:tabs>
    </w:pPr>
    <w:rPr>
      <w:rFonts w:cs="Arial"/>
      <w:szCs w:val="22"/>
      <w:lang w:val="en-US"/>
    </w:rPr>
  </w:style>
  <w:style w:type="paragraph" w:customStyle="1" w:styleId="acs2Arial">
    <w:name w:val="acs2 + Arial"/>
    <w:basedOn w:val="Normal"/>
    <w:rsid w:val="00560540"/>
    <w:pPr>
      <w:numPr>
        <w:numId w:val="10"/>
      </w:numPr>
    </w:pPr>
    <w:rPr>
      <w:rFonts w:cs="Arial"/>
      <w:szCs w:val="22"/>
      <w:lang w:val="en-US"/>
    </w:rPr>
  </w:style>
  <w:style w:type="paragraph" w:styleId="Revision">
    <w:name w:val="Revision"/>
    <w:hidden/>
    <w:uiPriority w:val="99"/>
    <w:semiHidden/>
    <w:rsid w:val="00B525C9"/>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15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52E45-FCF6-4903-B8D7-5049E3FB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Department of Education, Youth and Family Services</Company>
  <LinksUpToDate>false</LinksUpToDate>
  <CharactersWithSpaces>9487</CharactersWithSpaces>
  <SharedDoc>false</SharedDoc>
  <HLinks>
    <vt:vector size="42" baseType="variant">
      <vt:variant>
        <vt:i4>1835066</vt:i4>
      </vt:variant>
      <vt:variant>
        <vt:i4>38</vt:i4>
      </vt:variant>
      <vt:variant>
        <vt:i4>0</vt:i4>
      </vt:variant>
      <vt:variant>
        <vt:i4>5</vt:i4>
      </vt:variant>
      <vt:variant>
        <vt:lpwstr/>
      </vt:variant>
      <vt:variant>
        <vt:lpwstr>_Toc804069028</vt:lpwstr>
      </vt:variant>
      <vt:variant>
        <vt:i4>2949120</vt:i4>
      </vt:variant>
      <vt:variant>
        <vt:i4>32</vt:i4>
      </vt:variant>
      <vt:variant>
        <vt:i4>0</vt:i4>
      </vt:variant>
      <vt:variant>
        <vt:i4>5</vt:i4>
      </vt:variant>
      <vt:variant>
        <vt:lpwstr/>
      </vt:variant>
      <vt:variant>
        <vt:lpwstr>_Toc1832127240</vt:lpwstr>
      </vt:variant>
      <vt:variant>
        <vt:i4>2424838</vt:i4>
      </vt:variant>
      <vt:variant>
        <vt:i4>26</vt:i4>
      </vt:variant>
      <vt:variant>
        <vt:i4>0</vt:i4>
      </vt:variant>
      <vt:variant>
        <vt:i4>5</vt:i4>
      </vt:variant>
      <vt:variant>
        <vt:lpwstr/>
      </vt:variant>
      <vt:variant>
        <vt:lpwstr>_Toc1492344191</vt:lpwstr>
      </vt:variant>
      <vt:variant>
        <vt:i4>1900607</vt:i4>
      </vt:variant>
      <vt:variant>
        <vt:i4>20</vt:i4>
      </vt:variant>
      <vt:variant>
        <vt:i4>0</vt:i4>
      </vt:variant>
      <vt:variant>
        <vt:i4>5</vt:i4>
      </vt:variant>
      <vt:variant>
        <vt:lpwstr/>
      </vt:variant>
      <vt:variant>
        <vt:lpwstr>_Toc85231549</vt:lpwstr>
      </vt:variant>
      <vt:variant>
        <vt:i4>1769534</vt:i4>
      </vt:variant>
      <vt:variant>
        <vt:i4>14</vt:i4>
      </vt:variant>
      <vt:variant>
        <vt:i4>0</vt:i4>
      </vt:variant>
      <vt:variant>
        <vt:i4>5</vt:i4>
      </vt:variant>
      <vt:variant>
        <vt:lpwstr/>
      </vt:variant>
      <vt:variant>
        <vt:lpwstr>_Toc107901841</vt:lpwstr>
      </vt:variant>
      <vt:variant>
        <vt:i4>1376316</vt:i4>
      </vt:variant>
      <vt:variant>
        <vt:i4>8</vt:i4>
      </vt:variant>
      <vt:variant>
        <vt:i4>0</vt:i4>
      </vt:variant>
      <vt:variant>
        <vt:i4>5</vt:i4>
      </vt:variant>
      <vt:variant>
        <vt:lpwstr/>
      </vt:variant>
      <vt:variant>
        <vt:lpwstr>_Toc557663821</vt:lpwstr>
      </vt:variant>
      <vt:variant>
        <vt:i4>2949122</vt:i4>
      </vt:variant>
      <vt:variant>
        <vt:i4>2</vt:i4>
      </vt:variant>
      <vt:variant>
        <vt:i4>0</vt:i4>
      </vt:variant>
      <vt:variant>
        <vt:i4>5</vt:i4>
      </vt:variant>
      <vt:variant>
        <vt:lpwstr/>
      </vt:variant>
      <vt:variant>
        <vt:lpwstr>_Toc1223025148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Vocational Competencies</dc:title>
  <dc:subject/>
  <dc:creator>Debbie_OBrienB;Tummers;Mitchell</dc:creator>
  <cp:keywords/>
  <cp:lastModifiedBy>Tummers, Mitchell</cp:lastModifiedBy>
  <cp:revision>6</cp:revision>
  <cp:lastPrinted>2014-10-02T06:25:00Z</cp:lastPrinted>
  <dcterms:created xsi:type="dcterms:W3CDTF">2023-09-26T06:01:00Z</dcterms:created>
  <dcterms:modified xsi:type="dcterms:W3CDTF">2023-09-26T06:04:00Z</dcterms:modified>
</cp:coreProperties>
</file>