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07" w:rsidRDefault="00066907" w:rsidP="00066907">
      <w:pPr>
        <w:widowControl w:val="0"/>
        <w:autoSpaceDE w:val="0"/>
        <w:autoSpaceDN w:val="0"/>
        <w:spacing w:after="0" w:line="240" w:lineRule="auto"/>
        <w:jc w:val="center"/>
        <w:rPr>
          <w:rFonts w:eastAsia="Calibri" w:cs="Arial"/>
          <w:b/>
          <w:sz w:val="28"/>
          <w:szCs w:val="28"/>
        </w:rPr>
      </w:pPr>
      <w:r>
        <w:rPr>
          <w:rFonts w:eastAsia="Calibri" w:cs="Arial"/>
          <w:b/>
          <w:sz w:val="28"/>
          <w:szCs w:val="28"/>
        </w:rPr>
        <w:t xml:space="preserve">Modern Languages Framework </w:t>
      </w:r>
    </w:p>
    <w:p w:rsidR="00066907" w:rsidRPr="001526AD" w:rsidRDefault="00066907" w:rsidP="00066907">
      <w:pPr>
        <w:widowControl w:val="0"/>
        <w:autoSpaceDE w:val="0"/>
        <w:autoSpaceDN w:val="0"/>
        <w:spacing w:after="0" w:line="240" w:lineRule="auto"/>
        <w:jc w:val="center"/>
        <w:rPr>
          <w:rFonts w:eastAsia="Calibri" w:cs="Arial"/>
          <w:b/>
          <w:sz w:val="28"/>
          <w:szCs w:val="28"/>
        </w:rPr>
      </w:pPr>
      <w:r>
        <w:rPr>
          <w:rFonts w:eastAsia="Calibri" w:cs="Arial"/>
          <w:b/>
          <w:sz w:val="28"/>
          <w:szCs w:val="28"/>
        </w:rPr>
        <w:t>Response to Feedback</w:t>
      </w:r>
    </w:p>
    <w:p w:rsidR="00066907" w:rsidRPr="00C80680" w:rsidRDefault="00066907" w:rsidP="00066907">
      <w:pPr>
        <w:widowControl w:val="0"/>
        <w:autoSpaceDE w:val="0"/>
        <w:autoSpaceDN w:val="0"/>
        <w:spacing w:after="0" w:line="240" w:lineRule="auto"/>
        <w:rPr>
          <w:rFonts w:eastAsia="Calibri" w:cs="Arial"/>
        </w:rPr>
      </w:pPr>
    </w:p>
    <w:p w:rsidR="00066907" w:rsidRPr="00C80680" w:rsidRDefault="00066907" w:rsidP="00C03152">
      <w:pPr>
        <w:widowControl w:val="0"/>
        <w:autoSpaceDE w:val="0"/>
        <w:autoSpaceDN w:val="0"/>
        <w:spacing w:after="0" w:line="240" w:lineRule="auto"/>
        <w:ind w:left="-142"/>
        <w:rPr>
          <w:rFonts w:eastAsia="Calibri" w:cs="Arial"/>
        </w:rPr>
      </w:pPr>
      <w:r w:rsidRPr="00C80680">
        <w:rPr>
          <w:rFonts w:eastAsia="Calibri" w:cs="Arial"/>
          <w:b/>
        </w:rPr>
        <w:t xml:space="preserve">Date: </w:t>
      </w:r>
      <w:r w:rsidRPr="0092142A">
        <w:rPr>
          <w:rFonts w:eastAsia="Calibri" w:cs="Arial"/>
        </w:rPr>
        <w:t>August 2018</w:t>
      </w:r>
      <w:bookmarkStart w:id="0" w:name="_GoBack"/>
      <w:bookmarkEnd w:id="0"/>
    </w:p>
    <w:p w:rsidR="00066907" w:rsidRPr="00C80680" w:rsidRDefault="00066907" w:rsidP="00066907">
      <w:pPr>
        <w:widowControl w:val="0"/>
        <w:autoSpaceDE w:val="0"/>
        <w:autoSpaceDN w:val="0"/>
        <w:spacing w:after="0" w:line="240" w:lineRule="auto"/>
        <w:rPr>
          <w:rFonts w:eastAsia="Calibri" w:cs="Arial"/>
        </w:rPr>
      </w:pPr>
    </w:p>
    <w:p w:rsidR="00066907" w:rsidRPr="00C80680" w:rsidRDefault="00066907" w:rsidP="00066907">
      <w:pPr>
        <w:widowControl w:val="0"/>
        <w:autoSpaceDE w:val="0"/>
        <w:autoSpaceDN w:val="0"/>
        <w:spacing w:after="0" w:line="240" w:lineRule="auto"/>
        <w:rPr>
          <w:rFonts w:eastAsia="Calibri"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195"/>
        <w:gridCol w:w="2851"/>
      </w:tblGrid>
      <w:tr w:rsidR="00066907" w:rsidRPr="00C80680" w:rsidTr="00F72F25">
        <w:trPr>
          <w:jc w:val="center"/>
        </w:trPr>
        <w:tc>
          <w:tcPr>
            <w:tcW w:w="1271" w:type="dxa"/>
            <w:shd w:val="clear" w:color="auto" w:fill="auto"/>
            <w:vAlign w:val="center"/>
          </w:tcPr>
          <w:p w:rsidR="00066907" w:rsidRPr="00C80680" w:rsidRDefault="00066907" w:rsidP="00F72F25">
            <w:pPr>
              <w:widowControl w:val="0"/>
              <w:autoSpaceDE w:val="0"/>
              <w:autoSpaceDN w:val="0"/>
              <w:spacing w:after="0" w:line="240" w:lineRule="auto"/>
              <w:jc w:val="center"/>
              <w:rPr>
                <w:rFonts w:eastAsia="Calibri" w:cs="Arial"/>
                <w:b/>
              </w:rPr>
            </w:pPr>
            <w:r w:rsidRPr="00C80680">
              <w:rPr>
                <w:rFonts w:eastAsia="Calibri" w:cs="Arial"/>
                <w:b/>
              </w:rPr>
              <w:t>Page Reference</w:t>
            </w:r>
          </w:p>
        </w:tc>
        <w:tc>
          <w:tcPr>
            <w:tcW w:w="5037" w:type="dxa"/>
            <w:shd w:val="clear" w:color="auto" w:fill="auto"/>
            <w:vAlign w:val="center"/>
          </w:tcPr>
          <w:p w:rsidR="00066907" w:rsidRPr="00C80680" w:rsidRDefault="00066907" w:rsidP="00F72F25">
            <w:pPr>
              <w:widowControl w:val="0"/>
              <w:autoSpaceDE w:val="0"/>
              <w:autoSpaceDN w:val="0"/>
              <w:spacing w:after="0" w:line="240" w:lineRule="auto"/>
              <w:jc w:val="center"/>
              <w:rPr>
                <w:rFonts w:eastAsia="Calibri" w:cs="Arial"/>
                <w:b/>
              </w:rPr>
            </w:pPr>
            <w:r w:rsidRPr="00C80680">
              <w:rPr>
                <w:rFonts w:eastAsia="Calibri" w:cs="Arial"/>
                <w:b/>
              </w:rPr>
              <w:t>Issue/Recommendation</w:t>
            </w:r>
          </w:p>
        </w:tc>
        <w:tc>
          <w:tcPr>
            <w:tcW w:w="2764" w:type="dxa"/>
            <w:shd w:val="clear" w:color="auto" w:fill="auto"/>
            <w:vAlign w:val="center"/>
          </w:tcPr>
          <w:p w:rsidR="00066907" w:rsidRPr="00C80680" w:rsidRDefault="00066907" w:rsidP="00F72F25">
            <w:pPr>
              <w:widowControl w:val="0"/>
              <w:autoSpaceDE w:val="0"/>
              <w:autoSpaceDN w:val="0"/>
              <w:spacing w:after="0" w:line="240" w:lineRule="auto"/>
              <w:jc w:val="center"/>
              <w:rPr>
                <w:rFonts w:eastAsia="Calibri" w:cs="Arial"/>
                <w:b/>
              </w:rPr>
            </w:pPr>
            <w:r>
              <w:rPr>
                <w:rFonts w:eastAsia="Calibri" w:cs="Arial"/>
                <w:b/>
              </w:rPr>
              <w:t>Panel r</w:t>
            </w:r>
            <w:r w:rsidRPr="00C80680">
              <w:rPr>
                <w:rFonts w:eastAsia="Calibri" w:cs="Arial"/>
                <w:b/>
              </w:rPr>
              <w:t>esponse</w:t>
            </w:r>
          </w:p>
        </w:tc>
      </w:tr>
      <w:tr w:rsidR="00066907" w:rsidRPr="00C80680" w:rsidTr="006274E5">
        <w:trPr>
          <w:trHeight w:val="1936"/>
          <w:jc w:val="center"/>
        </w:trPr>
        <w:tc>
          <w:tcPr>
            <w:tcW w:w="1271" w:type="dxa"/>
            <w:shd w:val="clear" w:color="auto" w:fill="auto"/>
          </w:tcPr>
          <w:p w:rsidR="00066907" w:rsidRPr="0092142A" w:rsidRDefault="00066907" w:rsidP="00661535">
            <w:pPr>
              <w:spacing w:before="120" w:after="0" w:line="240" w:lineRule="auto"/>
              <w:rPr>
                <w:rFonts w:eastAsia="Times New Roman" w:cs="Arial"/>
                <w:b/>
                <w:sz w:val="20"/>
                <w:szCs w:val="20"/>
              </w:rPr>
            </w:pPr>
            <w:r w:rsidRPr="0092142A">
              <w:rPr>
                <w:rFonts w:eastAsia="Times New Roman" w:cs="Arial"/>
                <w:b/>
                <w:sz w:val="20"/>
                <w:szCs w:val="20"/>
              </w:rPr>
              <w:t>Framework</w:t>
            </w:r>
          </w:p>
          <w:p w:rsidR="00066907" w:rsidRPr="0092142A" w:rsidRDefault="00066907" w:rsidP="00661535">
            <w:pPr>
              <w:spacing w:after="60" w:line="240" w:lineRule="auto"/>
              <w:rPr>
                <w:rFonts w:eastAsia="Times New Roman" w:cs="Arial"/>
                <w:b/>
                <w:sz w:val="20"/>
                <w:szCs w:val="20"/>
              </w:rPr>
            </w:pPr>
            <w:r w:rsidRPr="0092142A">
              <w:rPr>
                <w:rFonts w:eastAsia="Times New Roman" w:cs="Arial"/>
                <w:b/>
                <w:sz w:val="20"/>
                <w:szCs w:val="20"/>
              </w:rPr>
              <w:t>Rationale</w:t>
            </w:r>
          </w:p>
        </w:tc>
        <w:tc>
          <w:tcPr>
            <w:tcW w:w="5037" w:type="dxa"/>
            <w:tcBorders>
              <w:bottom w:val="single" w:sz="4" w:space="0" w:color="auto"/>
            </w:tcBorders>
            <w:shd w:val="clear" w:color="auto" w:fill="auto"/>
          </w:tcPr>
          <w:p w:rsidR="00066907" w:rsidRPr="00D259DB" w:rsidRDefault="00066907" w:rsidP="00D259DB">
            <w:pPr>
              <w:pStyle w:val="ListBullets"/>
            </w:pPr>
            <w:r w:rsidRPr="00D259DB">
              <w:t>No mention of employment opportunities with languages</w:t>
            </w:r>
            <w:r w:rsidR="00F72F25">
              <w:t>.</w:t>
            </w:r>
          </w:p>
        </w:tc>
        <w:tc>
          <w:tcPr>
            <w:tcW w:w="2764" w:type="dxa"/>
            <w:tcBorders>
              <w:bottom w:val="single" w:sz="4" w:space="0" w:color="auto"/>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The global economy is constantly changing. Inclusion of employment opportunities may date the document. A college may include a statement on employment opportunities</w:t>
            </w:r>
            <w:r w:rsidR="00F72F25">
              <w:rPr>
                <w:rFonts w:eastAsia="Calibri" w:cs="Arial"/>
                <w:sz w:val="21"/>
                <w:szCs w:val="21"/>
              </w:rPr>
              <w:t>.</w:t>
            </w:r>
          </w:p>
        </w:tc>
      </w:tr>
      <w:tr w:rsidR="00066907" w:rsidRPr="00C80680" w:rsidTr="00D259DB">
        <w:trPr>
          <w:jc w:val="center"/>
        </w:trPr>
        <w:tc>
          <w:tcPr>
            <w:tcW w:w="1271" w:type="dxa"/>
            <w:vMerge w:val="restart"/>
            <w:shd w:val="clear" w:color="auto" w:fill="auto"/>
          </w:tcPr>
          <w:p w:rsidR="00066907" w:rsidRPr="0092142A" w:rsidRDefault="00066907" w:rsidP="00661535">
            <w:pPr>
              <w:spacing w:before="120" w:after="120" w:line="240" w:lineRule="auto"/>
              <w:rPr>
                <w:rFonts w:eastAsia="Times New Roman" w:cs="Arial"/>
                <w:b/>
                <w:sz w:val="20"/>
                <w:szCs w:val="20"/>
              </w:rPr>
            </w:pPr>
            <w:r w:rsidRPr="0092142A">
              <w:rPr>
                <w:rFonts w:eastAsia="Times New Roman" w:cs="Arial"/>
                <w:b/>
                <w:sz w:val="20"/>
                <w:szCs w:val="20"/>
              </w:rPr>
              <w:t>Framework Goals</w:t>
            </w:r>
          </w:p>
        </w:tc>
        <w:tc>
          <w:tcPr>
            <w:tcW w:w="5037" w:type="dxa"/>
            <w:tcBorders>
              <w:bottom w:val="nil"/>
            </w:tcBorders>
            <w:shd w:val="clear" w:color="auto" w:fill="auto"/>
          </w:tcPr>
          <w:p w:rsidR="00066907" w:rsidRPr="00D259DB" w:rsidRDefault="00066907" w:rsidP="00D259DB">
            <w:pPr>
              <w:pStyle w:val="ListBullets"/>
            </w:pPr>
            <w:r w:rsidRPr="00D259DB">
              <w:t>Generally good - but intercultural competence needs to be defined and given more prominence in the document.</w:t>
            </w:r>
          </w:p>
        </w:tc>
        <w:tc>
          <w:tcPr>
            <w:tcW w:w="2764" w:type="dxa"/>
            <w:tcBorders>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This will be addressed in the courses.</w:t>
            </w:r>
          </w:p>
        </w:tc>
      </w:tr>
      <w:tr w:rsidR="00066907" w:rsidRPr="00C80680" w:rsidTr="00D259DB">
        <w:trPr>
          <w:jc w:val="center"/>
        </w:trPr>
        <w:tc>
          <w:tcPr>
            <w:tcW w:w="1271"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37" w:type="dxa"/>
            <w:tcBorders>
              <w:top w:val="nil"/>
              <w:bottom w:val="nil"/>
            </w:tcBorders>
            <w:shd w:val="clear" w:color="auto" w:fill="auto"/>
          </w:tcPr>
          <w:p w:rsidR="00066907" w:rsidRPr="00D259DB" w:rsidRDefault="00066907" w:rsidP="00F72F25">
            <w:pPr>
              <w:pStyle w:val="ListBullets"/>
            </w:pPr>
            <w:r w:rsidRPr="00D259DB">
              <w:t xml:space="preserve">We find the following should not be only limited to one course: </w:t>
            </w:r>
            <w:r w:rsidR="00F72F25">
              <w:t>l</w:t>
            </w:r>
            <w:r w:rsidRPr="00D259DB">
              <w:t>anguage courses at Advanced level should also enable students to:  analyse and respond to literature and global issues in the target language.</w:t>
            </w:r>
          </w:p>
        </w:tc>
        <w:tc>
          <w:tcPr>
            <w:tcW w:w="2764" w:type="dxa"/>
            <w:tcBorders>
              <w:top w:val="nil"/>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This point is addressed in the assessment section in the framework.</w:t>
            </w:r>
          </w:p>
        </w:tc>
      </w:tr>
      <w:tr w:rsidR="00066907" w:rsidRPr="00C80680" w:rsidTr="006274E5">
        <w:trPr>
          <w:trHeight w:val="870"/>
          <w:jc w:val="center"/>
        </w:trPr>
        <w:tc>
          <w:tcPr>
            <w:tcW w:w="1271"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37" w:type="dxa"/>
            <w:tcBorders>
              <w:top w:val="nil"/>
              <w:bottom w:val="single" w:sz="4" w:space="0" w:color="auto"/>
            </w:tcBorders>
            <w:shd w:val="clear" w:color="auto" w:fill="auto"/>
          </w:tcPr>
          <w:p w:rsidR="00066907" w:rsidRPr="00D259DB" w:rsidRDefault="00066907" w:rsidP="00F72F25">
            <w:pPr>
              <w:pStyle w:val="ListBullets"/>
            </w:pPr>
            <w:r w:rsidRPr="00D259DB">
              <w:t xml:space="preserve">Dot point 3 add and in the </w:t>
            </w:r>
            <w:r w:rsidR="00F72F25" w:rsidRPr="00D259DB">
              <w:t xml:space="preserve">World </w:t>
            </w:r>
            <w:r w:rsidR="00F72F25">
              <w:t>o</w:t>
            </w:r>
            <w:r w:rsidR="00F72F25" w:rsidRPr="00D259DB">
              <w:t>f Employment</w:t>
            </w:r>
          </w:p>
        </w:tc>
        <w:tc>
          <w:tcPr>
            <w:tcW w:w="2764" w:type="dxa"/>
            <w:tcBorders>
              <w:top w:val="nil"/>
              <w:bottom w:val="single" w:sz="4" w:space="0" w:color="auto"/>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Students are considered as global citizens which encompasses employment</w:t>
            </w:r>
            <w:r w:rsidR="00F72F25">
              <w:rPr>
                <w:rFonts w:eastAsia="Calibri" w:cs="Arial"/>
                <w:sz w:val="21"/>
                <w:szCs w:val="21"/>
              </w:rPr>
              <w:t>.</w:t>
            </w:r>
          </w:p>
        </w:tc>
      </w:tr>
      <w:tr w:rsidR="00066907" w:rsidRPr="00C80680" w:rsidTr="00D259DB">
        <w:trPr>
          <w:jc w:val="center"/>
        </w:trPr>
        <w:tc>
          <w:tcPr>
            <w:tcW w:w="1271" w:type="dxa"/>
            <w:vMerge w:val="restart"/>
            <w:shd w:val="clear" w:color="auto" w:fill="auto"/>
          </w:tcPr>
          <w:p w:rsidR="00066907" w:rsidRPr="0092142A" w:rsidRDefault="00066907" w:rsidP="00661535">
            <w:pPr>
              <w:spacing w:before="120" w:after="120" w:line="240" w:lineRule="auto"/>
              <w:rPr>
                <w:rFonts w:eastAsia="Times New Roman" w:cs="Arial"/>
                <w:b/>
                <w:sz w:val="20"/>
                <w:szCs w:val="20"/>
              </w:rPr>
            </w:pPr>
            <w:r w:rsidRPr="0092142A">
              <w:rPr>
                <w:rFonts w:eastAsia="Times New Roman" w:cs="Arial"/>
                <w:b/>
                <w:sz w:val="20"/>
                <w:szCs w:val="20"/>
              </w:rPr>
              <w:t>Content</w:t>
            </w:r>
          </w:p>
        </w:tc>
        <w:tc>
          <w:tcPr>
            <w:tcW w:w="5037" w:type="dxa"/>
            <w:tcBorders>
              <w:bottom w:val="nil"/>
            </w:tcBorders>
            <w:shd w:val="clear" w:color="auto" w:fill="auto"/>
          </w:tcPr>
          <w:p w:rsidR="00066907" w:rsidRPr="00D259DB" w:rsidRDefault="00066907" w:rsidP="00D259DB">
            <w:pPr>
              <w:pStyle w:val="ListBullets"/>
            </w:pPr>
            <w:r w:rsidRPr="00D259DB">
              <w:t>In the Languages Course Framework document the Recommended Content (page 6) is limited. The detailed content is in the specific language frameworks. More detail is needed in the framework to ensure consistency across the languages.</w:t>
            </w:r>
          </w:p>
        </w:tc>
        <w:tc>
          <w:tcPr>
            <w:tcW w:w="2764" w:type="dxa"/>
            <w:tcBorders>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Consistency across languages courses is addressed in the Shape Paper</w:t>
            </w:r>
            <w:r w:rsidR="00F72F25">
              <w:rPr>
                <w:rFonts w:eastAsia="Calibri" w:cs="Arial"/>
                <w:sz w:val="21"/>
                <w:szCs w:val="21"/>
              </w:rPr>
              <w:t>.</w:t>
            </w:r>
          </w:p>
        </w:tc>
      </w:tr>
      <w:tr w:rsidR="00066907" w:rsidRPr="00C80680" w:rsidTr="00D259DB">
        <w:trPr>
          <w:jc w:val="center"/>
        </w:trPr>
        <w:tc>
          <w:tcPr>
            <w:tcW w:w="1271"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37" w:type="dxa"/>
            <w:tcBorders>
              <w:top w:val="nil"/>
              <w:bottom w:val="nil"/>
            </w:tcBorders>
            <w:shd w:val="clear" w:color="auto" w:fill="auto"/>
          </w:tcPr>
          <w:p w:rsidR="00066907" w:rsidRPr="00D259DB" w:rsidRDefault="00066907" w:rsidP="00D259DB">
            <w:pPr>
              <w:pStyle w:val="ListBullets"/>
            </w:pPr>
            <w:r w:rsidRPr="00D259DB">
              <w:t>It is good that the content is open and not prescriptive. Allowing scope for differentiation. Being in an Australian context, the Aboriginal and Torres Strait Islander perspectives need to be better established in the framework.</w:t>
            </w:r>
          </w:p>
        </w:tc>
        <w:tc>
          <w:tcPr>
            <w:tcW w:w="2764" w:type="dxa"/>
            <w:tcBorders>
              <w:top w:val="nil"/>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Aboriginal and Torres Strait Islander perspectives is mentioned on page 2 of the Framework. In addition, courses will mention Aboriginal and Torres Strait Islander perspectives in the General capabilities</w:t>
            </w:r>
            <w:r w:rsidR="00F72F25">
              <w:rPr>
                <w:rFonts w:eastAsia="Calibri" w:cs="Arial"/>
                <w:sz w:val="21"/>
                <w:szCs w:val="21"/>
              </w:rPr>
              <w:t>.</w:t>
            </w:r>
          </w:p>
        </w:tc>
      </w:tr>
      <w:tr w:rsidR="00066907" w:rsidRPr="00C80680" w:rsidTr="00D259DB">
        <w:trPr>
          <w:jc w:val="center"/>
        </w:trPr>
        <w:tc>
          <w:tcPr>
            <w:tcW w:w="1271"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37" w:type="dxa"/>
            <w:tcBorders>
              <w:top w:val="nil"/>
              <w:bottom w:val="single" w:sz="4" w:space="0" w:color="auto"/>
            </w:tcBorders>
            <w:shd w:val="clear" w:color="auto" w:fill="auto"/>
          </w:tcPr>
          <w:p w:rsidR="00066907" w:rsidRPr="00D259DB" w:rsidRDefault="00D259DB" w:rsidP="00D259DB">
            <w:pPr>
              <w:pStyle w:val="ListBullets"/>
            </w:pPr>
            <w:r w:rsidRPr="00D259DB">
              <w:t>U</w:t>
            </w:r>
            <w:r w:rsidR="00066907" w:rsidRPr="00D259DB">
              <w:t xml:space="preserve">pper case letters for topics </w:t>
            </w:r>
            <w:proofErr w:type="spellStart"/>
            <w:r w:rsidR="00066907" w:rsidRPr="00D259DB">
              <w:t>eg</w:t>
            </w:r>
            <w:proofErr w:type="spellEnd"/>
            <w:r w:rsidR="00066907" w:rsidRPr="00D259DB">
              <w:t xml:space="preserve"> The Individual's Experiences should be Lifestyles and Traditions</w:t>
            </w:r>
            <w:r w:rsidR="00F72F25">
              <w:t>.</w:t>
            </w:r>
          </w:p>
        </w:tc>
        <w:tc>
          <w:tcPr>
            <w:tcW w:w="2764" w:type="dxa"/>
            <w:tcBorders>
              <w:top w:val="nil"/>
              <w:bottom w:val="single" w:sz="4" w:space="0" w:color="auto"/>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Refer to the Shape Paper for unit titles</w:t>
            </w:r>
            <w:r w:rsidR="00F72F25">
              <w:rPr>
                <w:rFonts w:eastAsia="Calibri" w:cs="Arial"/>
                <w:sz w:val="21"/>
                <w:szCs w:val="21"/>
              </w:rPr>
              <w:t>.</w:t>
            </w:r>
          </w:p>
        </w:tc>
      </w:tr>
    </w:tbl>
    <w:p w:rsidR="00D259DB" w:rsidRDefault="00D259DB">
      <w: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5177"/>
        <w:gridCol w:w="2824"/>
      </w:tblGrid>
      <w:tr w:rsidR="00066907" w:rsidRPr="00C80680" w:rsidTr="00D259DB">
        <w:trPr>
          <w:jc w:val="center"/>
        </w:trPr>
        <w:tc>
          <w:tcPr>
            <w:tcW w:w="1314" w:type="dxa"/>
            <w:vMerge w:val="restart"/>
            <w:shd w:val="clear" w:color="auto" w:fill="auto"/>
          </w:tcPr>
          <w:p w:rsidR="00066907" w:rsidRPr="0092142A" w:rsidRDefault="00066907" w:rsidP="00661535">
            <w:pPr>
              <w:spacing w:before="120" w:after="120" w:line="240" w:lineRule="auto"/>
              <w:rPr>
                <w:rFonts w:eastAsia="Times New Roman" w:cs="Arial"/>
                <w:b/>
                <w:sz w:val="20"/>
                <w:szCs w:val="20"/>
              </w:rPr>
            </w:pPr>
            <w:r w:rsidRPr="0092142A">
              <w:rPr>
                <w:rFonts w:eastAsia="Times New Roman" w:cs="Arial"/>
                <w:b/>
                <w:sz w:val="20"/>
                <w:szCs w:val="20"/>
              </w:rPr>
              <w:lastRenderedPageBreak/>
              <w:t>Assessment Task Type Table</w:t>
            </w:r>
          </w:p>
        </w:tc>
        <w:tc>
          <w:tcPr>
            <w:tcW w:w="5020" w:type="dxa"/>
            <w:tcBorders>
              <w:bottom w:val="nil"/>
            </w:tcBorders>
            <w:shd w:val="clear" w:color="auto" w:fill="auto"/>
          </w:tcPr>
          <w:p w:rsidR="00066907" w:rsidRPr="00D259DB" w:rsidRDefault="00066907" w:rsidP="00D259DB">
            <w:pPr>
              <w:pStyle w:val="ListBullets"/>
            </w:pPr>
            <w:r w:rsidRPr="00D259DB">
              <w:t>The layout of the Assessment Task Types is confusing - it is easily misinterpreted.</w:t>
            </w:r>
          </w:p>
        </w:tc>
        <w:tc>
          <w:tcPr>
            <w:tcW w:w="2738" w:type="dxa"/>
            <w:tcBorders>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p>
        </w:tc>
      </w:tr>
      <w:tr w:rsidR="00066907" w:rsidRPr="00C80680" w:rsidTr="00D259DB">
        <w:trPr>
          <w:jc w:val="center"/>
        </w:trPr>
        <w:tc>
          <w:tcPr>
            <w:tcW w:w="1314"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20" w:type="dxa"/>
            <w:tcBorders>
              <w:top w:val="nil"/>
              <w:bottom w:val="nil"/>
            </w:tcBorders>
            <w:shd w:val="clear" w:color="auto" w:fill="auto"/>
          </w:tcPr>
          <w:p w:rsidR="00066907" w:rsidRPr="00D259DB" w:rsidRDefault="00066907" w:rsidP="00D259DB">
            <w:pPr>
              <w:pStyle w:val="ListBullets"/>
            </w:pPr>
            <w:r w:rsidRPr="00D259DB">
              <w:t>The following should be the first to be mentioned: Every task must enable students to demonstrate higher order thinking skills. We agree with the weightings</w:t>
            </w:r>
            <w:r w:rsidR="00F72F25">
              <w:t>.</w:t>
            </w:r>
            <w:r w:rsidRPr="00D259DB">
              <w:t xml:space="preserve"> We do not agree that Poetry could be a mandatory writing item in </w:t>
            </w:r>
            <w:proofErr w:type="spellStart"/>
            <w:r w:rsidRPr="00D259DB">
              <w:t>Cont</w:t>
            </w:r>
            <w:proofErr w:type="spellEnd"/>
            <w:r w:rsidRPr="00D259DB">
              <w:t xml:space="preserve"> and </w:t>
            </w:r>
            <w:proofErr w:type="spellStart"/>
            <w:r w:rsidRPr="00D259DB">
              <w:t>Adv</w:t>
            </w:r>
            <w:proofErr w:type="spellEnd"/>
            <w:r w:rsidRPr="00D259DB">
              <w:t xml:space="preserve"> - it should be in responding</w:t>
            </w:r>
            <w:r w:rsidR="00F72F25">
              <w:t xml:space="preserve">. The </w:t>
            </w:r>
            <w:r w:rsidRPr="00D259DB">
              <w:t>interpretation of the assessment table is not very clear and has been interpreted differently</w:t>
            </w:r>
            <w:r w:rsidR="00F72F25">
              <w:t>.</w:t>
            </w:r>
          </w:p>
        </w:tc>
        <w:tc>
          <w:tcPr>
            <w:tcW w:w="2738" w:type="dxa"/>
            <w:tcBorders>
              <w:top w:val="nil"/>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p>
        </w:tc>
      </w:tr>
      <w:tr w:rsidR="00066907" w:rsidRPr="00C80680" w:rsidTr="00D259DB">
        <w:trPr>
          <w:jc w:val="center"/>
        </w:trPr>
        <w:tc>
          <w:tcPr>
            <w:tcW w:w="1314"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20" w:type="dxa"/>
            <w:tcBorders>
              <w:top w:val="nil"/>
              <w:bottom w:val="nil"/>
            </w:tcBorders>
            <w:shd w:val="clear" w:color="auto" w:fill="auto"/>
          </w:tcPr>
          <w:p w:rsidR="00066907" w:rsidRPr="00D259DB" w:rsidRDefault="00066907" w:rsidP="00D259DB">
            <w:pPr>
              <w:pStyle w:val="ListBullets"/>
            </w:pPr>
            <w:r w:rsidRPr="00D259DB">
              <w:t xml:space="preserve">But you need differentiated time allocations for Beginning/Continuing/Advanced interviews. Bold print </w:t>
            </w:r>
            <w:r w:rsidR="00D259DB">
              <w:t>e</w:t>
            </w:r>
            <w:r w:rsidRPr="00D259DB">
              <w:t>very task must enable students to demonstrate higher order thinking skills.</w:t>
            </w:r>
          </w:p>
        </w:tc>
        <w:tc>
          <w:tcPr>
            <w:tcW w:w="2738" w:type="dxa"/>
            <w:tcBorders>
              <w:top w:val="nil"/>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p>
        </w:tc>
      </w:tr>
      <w:tr w:rsidR="00066907" w:rsidRPr="00C80680" w:rsidTr="00D259DB">
        <w:trPr>
          <w:jc w:val="center"/>
        </w:trPr>
        <w:tc>
          <w:tcPr>
            <w:tcW w:w="1314"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20" w:type="dxa"/>
            <w:tcBorders>
              <w:top w:val="nil"/>
              <w:bottom w:val="nil"/>
            </w:tcBorders>
            <w:shd w:val="clear" w:color="auto" w:fill="auto"/>
          </w:tcPr>
          <w:p w:rsidR="00066907" w:rsidRPr="00D259DB" w:rsidRDefault="00066907" w:rsidP="00D259DB">
            <w:pPr>
              <w:pStyle w:val="ListBullets"/>
            </w:pPr>
            <w:r w:rsidRPr="00D259DB">
              <w:t>Confusing when it comes to calculating mandatory percentages.</w:t>
            </w:r>
          </w:p>
        </w:tc>
        <w:tc>
          <w:tcPr>
            <w:tcW w:w="2738" w:type="dxa"/>
            <w:tcBorders>
              <w:top w:val="nil"/>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p>
        </w:tc>
      </w:tr>
      <w:tr w:rsidR="00066907" w:rsidRPr="00C80680" w:rsidTr="00F72F25">
        <w:trPr>
          <w:trHeight w:val="1138"/>
          <w:jc w:val="center"/>
        </w:trPr>
        <w:tc>
          <w:tcPr>
            <w:tcW w:w="1314"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20" w:type="dxa"/>
            <w:tcBorders>
              <w:top w:val="nil"/>
              <w:bottom w:val="single" w:sz="4" w:space="0" w:color="auto"/>
            </w:tcBorders>
            <w:shd w:val="clear" w:color="auto" w:fill="auto"/>
          </w:tcPr>
          <w:p w:rsidR="00066907" w:rsidRPr="00D259DB" w:rsidRDefault="00066907" w:rsidP="00D259DB">
            <w:pPr>
              <w:pStyle w:val="ListBullets"/>
            </w:pPr>
            <w:r w:rsidRPr="00D259DB">
              <w:t>Explanations of mandatory and option tasks are confused, e.g. whether listening and reading items can be tested separately. It does not clarify whether class test or home task for mandatory assessment items.</w:t>
            </w:r>
          </w:p>
        </w:tc>
        <w:tc>
          <w:tcPr>
            <w:tcW w:w="2738" w:type="dxa"/>
            <w:tcBorders>
              <w:top w:val="nil"/>
              <w:bottom w:val="single" w:sz="4" w:space="0" w:color="auto"/>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p>
        </w:tc>
      </w:tr>
      <w:tr w:rsidR="00066907" w:rsidRPr="00C80680" w:rsidTr="00D259DB">
        <w:trPr>
          <w:jc w:val="center"/>
        </w:trPr>
        <w:tc>
          <w:tcPr>
            <w:tcW w:w="1314" w:type="dxa"/>
            <w:vMerge w:val="restart"/>
            <w:shd w:val="clear" w:color="auto" w:fill="auto"/>
          </w:tcPr>
          <w:p w:rsidR="00066907" w:rsidRPr="0092142A" w:rsidRDefault="00066907" w:rsidP="00661535">
            <w:pPr>
              <w:spacing w:before="120" w:after="120" w:line="240" w:lineRule="auto"/>
              <w:rPr>
                <w:rFonts w:eastAsia="Times New Roman" w:cs="Arial"/>
                <w:b/>
                <w:sz w:val="20"/>
                <w:szCs w:val="20"/>
              </w:rPr>
            </w:pPr>
            <w:r w:rsidRPr="0092142A">
              <w:rPr>
                <w:rFonts w:eastAsia="Times New Roman" w:cs="Arial"/>
                <w:b/>
                <w:sz w:val="20"/>
                <w:szCs w:val="20"/>
              </w:rPr>
              <w:t>Achievement Standards</w:t>
            </w:r>
          </w:p>
        </w:tc>
        <w:tc>
          <w:tcPr>
            <w:tcW w:w="5020" w:type="dxa"/>
            <w:tcBorders>
              <w:top w:val="single" w:sz="4" w:space="0" w:color="auto"/>
              <w:bottom w:val="nil"/>
            </w:tcBorders>
            <w:shd w:val="clear" w:color="auto" w:fill="auto"/>
          </w:tcPr>
          <w:p w:rsidR="00066907" w:rsidRPr="00D259DB" w:rsidRDefault="00066907" w:rsidP="00D259DB">
            <w:pPr>
              <w:pStyle w:val="ListBullets"/>
            </w:pPr>
            <w:r w:rsidRPr="00D259DB">
              <w:t>Generally good.</w:t>
            </w:r>
          </w:p>
        </w:tc>
        <w:tc>
          <w:tcPr>
            <w:tcW w:w="2738" w:type="dxa"/>
            <w:tcBorders>
              <w:top w:val="single" w:sz="4" w:space="0" w:color="auto"/>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Noted.</w:t>
            </w:r>
          </w:p>
        </w:tc>
      </w:tr>
      <w:tr w:rsidR="00066907" w:rsidRPr="00C80680" w:rsidTr="00D259DB">
        <w:trPr>
          <w:jc w:val="center"/>
        </w:trPr>
        <w:tc>
          <w:tcPr>
            <w:tcW w:w="1314"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20" w:type="dxa"/>
            <w:tcBorders>
              <w:top w:val="nil"/>
              <w:bottom w:val="nil"/>
            </w:tcBorders>
            <w:shd w:val="clear" w:color="auto" w:fill="auto"/>
          </w:tcPr>
          <w:p w:rsidR="00066907" w:rsidRPr="00D259DB" w:rsidRDefault="00066907" w:rsidP="00D259DB">
            <w:pPr>
              <w:pStyle w:val="ListBullets"/>
            </w:pPr>
            <w:r w:rsidRPr="00D259DB">
              <w:t>The first grade descriptor in Understanding seems to be too esoteric - students seem to be confused e.g. explain or describe language rather than using it</w:t>
            </w:r>
            <w:r w:rsidR="00F72F25">
              <w:t>.</w:t>
            </w:r>
          </w:p>
        </w:tc>
        <w:tc>
          <w:tcPr>
            <w:tcW w:w="2738" w:type="dxa"/>
            <w:tcBorders>
              <w:top w:val="nil"/>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Developers reviewed the language and conclude that the words (identify, explains and describes) is clear. Appendix B defines verbs.</w:t>
            </w:r>
          </w:p>
        </w:tc>
      </w:tr>
      <w:tr w:rsidR="00066907" w:rsidRPr="00C80680" w:rsidTr="00D259DB">
        <w:trPr>
          <w:jc w:val="center"/>
        </w:trPr>
        <w:tc>
          <w:tcPr>
            <w:tcW w:w="1314"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20" w:type="dxa"/>
            <w:tcBorders>
              <w:top w:val="nil"/>
              <w:bottom w:val="nil"/>
            </w:tcBorders>
            <w:shd w:val="clear" w:color="auto" w:fill="auto"/>
          </w:tcPr>
          <w:p w:rsidR="00066907" w:rsidRPr="00D259DB" w:rsidRDefault="00066907" w:rsidP="00D259DB">
            <w:pPr>
              <w:pStyle w:val="ListBullets"/>
            </w:pPr>
            <w:r w:rsidRPr="00D259DB">
              <w:t>Could benefit from another look- some areas are not clear.</w:t>
            </w:r>
          </w:p>
        </w:tc>
        <w:tc>
          <w:tcPr>
            <w:tcW w:w="2738" w:type="dxa"/>
            <w:tcBorders>
              <w:top w:val="nil"/>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The comment as interpreted by the developers there is confusion about how to apply the Achievement Standards to an overall grade. Professional learning is planned in 2019.</w:t>
            </w:r>
          </w:p>
        </w:tc>
      </w:tr>
      <w:tr w:rsidR="00066907" w:rsidRPr="00C80680" w:rsidTr="00D259DB">
        <w:trPr>
          <w:jc w:val="center"/>
        </w:trPr>
        <w:tc>
          <w:tcPr>
            <w:tcW w:w="1314"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20" w:type="dxa"/>
            <w:tcBorders>
              <w:top w:val="nil"/>
              <w:bottom w:val="nil"/>
            </w:tcBorders>
            <w:shd w:val="clear" w:color="auto" w:fill="auto"/>
          </w:tcPr>
          <w:p w:rsidR="00066907" w:rsidRPr="00D259DB" w:rsidRDefault="00066907" w:rsidP="00D259DB">
            <w:pPr>
              <w:pStyle w:val="ListBullets"/>
            </w:pPr>
            <w:r w:rsidRPr="00D259DB">
              <w:t>Some issues - for example unit grade descriptors for year 11 Beginning should be differentiated between semester 1 and semester 2.</w:t>
            </w:r>
          </w:p>
        </w:tc>
        <w:tc>
          <w:tcPr>
            <w:tcW w:w="2738" w:type="dxa"/>
            <w:tcBorders>
              <w:top w:val="nil"/>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Rubrics for specific tasks should differentiate student achievement in Semester 1 and Semester 2.</w:t>
            </w:r>
          </w:p>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The achievement standards are informed by ACARA design specifications (i.e. year 11/12). Professional learning on Achievement Standards is planned for 2019.</w:t>
            </w:r>
          </w:p>
        </w:tc>
      </w:tr>
      <w:tr w:rsidR="00066907" w:rsidRPr="00C80680" w:rsidTr="00D259DB">
        <w:trPr>
          <w:jc w:val="center"/>
        </w:trPr>
        <w:tc>
          <w:tcPr>
            <w:tcW w:w="1314"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20" w:type="dxa"/>
            <w:tcBorders>
              <w:top w:val="nil"/>
              <w:bottom w:val="nil"/>
            </w:tcBorders>
            <w:shd w:val="clear" w:color="auto" w:fill="auto"/>
          </w:tcPr>
          <w:p w:rsidR="00066907" w:rsidRPr="00D259DB" w:rsidRDefault="00D259DB" w:rsidP="00D259DB">
            <w:pPr>
              <w:pStyle w:val="ListBullets"/>
            </w:pPr>
            <w:r>
              <w:t>A</w:t>
            </w:r>
            <w:r w:rsidR="00066907" w:rsidRPr="00D259DB">
              <w:t xml:space="preserve">s above the first grade descriptor in understanding needs to be clarified. All the others are great. </w:t>
            </w:r>
          </w:p>
        </w:tc>
        <w:tc>
          <w:tcPr>
            <w:tcW w:w="2738" w:type="dxa"/>
            <w:tcBorders>
              <w:top w:val="nil"/>
              <w:bottom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 xml:space="preserve">Developers confirm that the first grade descriptor in Understanding is clear if reference is made to Appendix B. </w:t>
            </w:r>
          </w:p>
        </w:tc>
      </w:tr>
      <w:tr w:rsidR="00066907" w:rsidRPr="00C80680" w:rsidTr="00D259DB">
        <w:trPr>
          <w:jc w:val="center"/>
        </w:trPr>
        <w:tc>
          <w:tcPr>
            <w:tcW w:w="1314" w:type="dxa"/>
            <w:vMerge/>
            <w:shd w:val="clear" w:color="auto" w:fill="auto"/>
          </w:tcPr>
          <w:p w:rsidR="00066907" w:rsidRPr="0092142A" w:rsidRDefault="00066907" w:rsidP="00661535">
            <w:pPr>
              <w:spacing w:before="120" w:after="120" w:line="240" w:lineRule="auto"/>
              <w:rPr>
                <w:rFonts w:eastAsia="Times New Roman" w:cs="Arial"/>
                <w:b/>
                <w:sz w:val="20"/>
                <w:szCs w:val="20"/>
              </w:rPr>
            </w:pPr>
          </w:p>
        </w:tc>
        <w:tc>
          <w:tcPr>
            <w:tcW w:w="5020" w:type="dxa"/>
            <w:tcBorders>
              <w:top w:val="nil"/>
            </w:tcBorders>
            <w:shd w:val="clear" w:color="auto" w:fill="auto"/>
          </w:tcPr>
          <w:p w:rsidR="00066907" w:rsidRPr="00D259DB" w:rsidRDefault="00066907" w:rsidP="00D259DB">
            <w:pPr>
              <w:pStyle w:val="ListBullets"/>
            </w:pPr>
            <w:r w:rsidRPr="00D259DB">
              <w:t>Could benefit from a revisit with regard to the wording.</w:t>
            </w:r>
          </w:p>
        </w:tc>
        <w:tc>
          <w:tcPr>
            <w:tcW w:w="2738" w:type="dxa"/>
            <w:tcBorders>
              <w:top w:val="nil"/>
            </w:tcBorders>
            <w:shd w:val="clear" w:color="auto" w:fill="auto"/>
          </w:tcPr>
          <w:p w:rsidR="00066907" w:rsidRPr="00D259DB" w:rsidRDefault="00066907" w:rsidP="00661535">
            <w:pPr>
              <w:widowControl w:val="0"/>
              <w:autoSpaceDE w:val="0"/>
              <w:autoSpaceDN w:val="0"/>
              <w:spacing w:after="0" w:line="240" w:lineRule="auto"/>
              <w:rPr>
                <w:rFonts w:eastAsia="Calibri" w:cs="Arial"/>
                <w:sz w:val="21"/>
                <w:szCs w:val="21"/>
              </w:rPr>
            </w:pPr>
            <w:r w:rsidRPr="00D259DB">
              <w:rPr>
                <w:rFonts w:eastAsia="Calibri" w:cs="Arial"/>
                <w:sz w:val="21"/>
                <w:szCs w:val="21"/>
              </w:rPr>
              <w:t>Refer to Appendix B.</w:t>
            </w:r>
          </w:p>
        </w:tc>
      </w:tr>
    </w:tbl>
    <w:p w:rsidR="00066907" w:rsidRPr="00C80680" w:rsidRDefault="00066907" w:rsidP="00066907">
      <w:pPr>
        <w:widowControl w:val="0"/>
        <w:autoSpaceDE w:val="0"/>
        <w:autoSpaceDN w:val="0"/>
        <w:spacing w:after="0" w:line="240" w:lineRule="auto"/>
        <w:rPr>
          <w:rFonts w:eastAsia="Calibri" w:cs="Arial"/>
        </w:rPr>
      </w:pPr>
    </w:p>
    <w:p w:rsidR="00CA48D6" w:rsidRDefault="00CA48D6"/>
    <w:sectPr w:rsidR="00CA4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A416F"/>
    <w:multiLevelType w:val="hybridMultilevel"/>
    <w:tmpl w:val="05E2085E"/>
    <w:lvl w:ilvl="0" w:tplc="B8203E62">
      <w:start w:val="1"/>
      <w:numFmt w:val="bullet"/>
      <w:pStyle w:val="List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07"/>
    <w:rsid w:val="00066907"/>
    <w:rsid w:val="006274E5"/>
    <w:rsid w:val="00C03152"/>
    <w:rsid w:val="00CA48D6"/>
    <w:rsid w:val="00D259DB"/>
    <w:rsid w:val="00F72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A8FE6-7212-409D-9ED2-3F5639C3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s">
    <w:name w:val="List Bullets"/>
    <w:basedOn w:val="Normal"/>
    <w:qFormat/>
    <w:rsid w:val="00F72F25"/>
    <w:pPr>
      <w:widowControl w:val="0"/>
      <w:numPr>
        <w:numId w:val="1"/>
      </w:numPr>
      <w:autoSpaceDE w:val="0"/>
      <w:autoSpaceDN w:val="0"/>
      <w:spacing w:after="0" w:line="240" w:lineRule="auto"/>
      <w:ind w:left="170" w:hanging="170"/>
    </w:pPr>
    <w:rPr>
      <w:rFonts w:eastAsia="Calibri"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33402A19.dotm</Template>
  <TotalTime>20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Feodoroff, Kristofer</dc:creator>
  <cp:keywords/>
  <dc:description/>
  <cp:lastModifiedBy>Brown, Rosalind</cp:lastModifiedBy>
  <cp:revision>4</cp:revision>
  <dcterms:created xsi:type="dcterms:W3CDTF">2018-08-10T04:17:00Z</dcterms:created>
  <dcterms:modified xsi:type="dcterms:W3CDTF">2018-08-10T04:53:00Z</dcterms:modified>
</cp:coreProperties>
</file>